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28C62D" w14:textId="3AA727D0" w:rsidR="002E1358" w:rsidRPr="0015473F" w:rsidRDefault="005C5328" w:rsidP="00A32741">
      <w:pPr>
        <w:ind w:right="-330"/>
        <w:rPr>
          <w:rFonts w:asciiTheme="minorHAnsi" w:hAnsiTheme="minorHAnsi"/>
          <w:bCs/>
        </w:rPr>
      </w:pPr>
      <w:r w:rsidRPr="0015473F">
        <w:rPr>
          <w:rFonts w:asciiTheme="minorHAnsi" w:hAnsiTheme="minorHAnsi"/>
          <w:bCs/>
        </w:rPr>
        <w:t>C</w:t>
      </w:r>
      <w:r w:rsidR="00502246">
        <w:rPr>
          <w:rFonts w:asciiTheme="minorHAnsi" w:hAnsiTheme="minorHAnsi"/>
          <w:bCs/>
        </w:rPr>
        <w:t>omunicato stampa</w:t>
      </w:r>
      <w:r w:rsidR="00766137">
        <w:rPr>
          <w:rFonts w:asciiTheme="minorHAnsi" w:hAnsiTheme="minorHAnsi"/>
          <w:bCs/>
        </w:rPr>
        <w:t xml:space="preserve"> </w:t>
      </w:r>
    </w:p>
    <w:p w14:paraId="587C01A8" w14:textId="46456A65" w:rsidR="00BF1345" w:rsidRPr="00BF160B" w:rsidRDefault="00625DD5" w:rsidP="00BF1345">
      <w:pPr>
        <w:spacing w:before="100" w:beforeAutospacing="1" w:after="100" w:afterAutospacing="1"/>
        <w:jc w:val="center"/>
        <w:rPr>
          <w:rFonts w:asciiTheme="minorHAnsi" w:eastAsia="Yu Mincho" w:hAnsiTheme="minorHAnsi" w:cs="Arial"/>
          <w:b/>
          <w:bCs/>
          <w:kern w:val="2"/>
          <w:sz w:val="32"/>
          <w:szCs w:val="32"/>
          <w:lang w:eastAsia="en-GB"/>
          <w14:ligatures w14:val="standardContextual"/>
        </w:rPr>
      </w:pPr>
      <w:r w:rsidRPr="00625DD5">
        <w:rPr>
          <w:rFonts w:asciiTheme="minorHAnsi" w:eastAsia="Yu Mincho" w:hAnsiTheme="minorHAnsi" w:cs="Arial"/>
          <w:b/>
          <w:bCs/>
          <w:kern w:val="2"/>
          <w:sz w:val="32"/>
          <w:szCs w:val="32"/>
          <w:lang w:eastAsia="en-GB"/>
          <w14:ligatures w14:val="standardContextual"/>
        </w:rPr>
        <w:t>Adozione e fiducia nella tecnologia IA</w:t>
      </w:r>
    </w:p>
    <w:p w14:paraId="28587EFF" w14:textId="47902BA1" w:rsidR="00BF1345" w:rsidRPr="00BF160B" w:rsidRDefault="00625DD5" w:rsidP="00BF1345">
      <w:pPr>
        <w:spacing w:before="100" w:beforeAutospacing="1" w:after="100" w:afterAutospacing="1"/>
        <w:jc w:val="center"/>
        <w:rPr>
          <w:rFonts w:asciiTheme="minorHAnsi" w:eastAsia="Yu Mincho" w:hAnsiTheme="minorHAnsi" w:cs="Arial"/>
          <w:b/>
          <w:bCs/>
          <w:kern w:val="2"/>
          <w:sz w:val="32"/>
          <w:szCs w:val="32"/>
          <w:lang w:eastAsia="en-GB"/>
          <w14:ligatures w14:val="standardContextual"/>
        </w:rPr>
      </w:pPr>
      <w:r w:rsidRPr="00625DD5">
        <w:rPr>
          <w:rFonts w:asciiTheme="minorHAnsi" w:eastAsia="Yu Mincho" w:hAnsiTheme="minorHAnsi" w:cs="Arial"/>
          <w:b/>
          <w:bCs/>
          <w:kern w:val="2"/>
          <w:sz w:val="32"/>
          <w:szCs w:val="32"/>
          <w:lang w:eastAsia="en-GB"/>
          <w14:ligatures w14:val="standardContextual"/>
        </w:rPr>
        <w:t xml:space="preserve">L'EUROPA COMPRENDE L'IA, </w:t>
      </w:r>
      <w:r>
        <w:rPr>
          <w:rFonts w:asciiTheme="minorHAnsi" w:eastAsia="Yu Mincho" w:hAnsiTheme="minorHAnsi" w:cs="Arial"/>
          <w:b/>
          <w:bCs/>
          <w:kern w:val="2"/>
          <w:sz w:val="32"/>
          <w:szCs w:val="32"/>
          <w:lang w:eastAsia="en-GB"/>
          <w14:ligatures w14:val="standardContextual"/>
        </w:rPr>
        <w:br/>
      </w:r>
      <w:r w:rsidRPr="00625DD5">
        <w:rPr>
          <w:rFonts w:asciiTheme="minorHAnsi" w:eastAsia="Yu Mincho" w:hAnsiTheme="minorHAnsi" w:cs="Arial"/>
          <w:b/>
          <w:bCs/>
          <w:kern w:val="2"/>
          <w:sz w:val="32"/>
          <w:szCs w:val="32"/>
          <w:lang w:eastAsia="en-GB"/>
          <w14:ligatures w14:val="standardContextual"/>
        </w:rPr>
        <w:t>MA NON LE AFFIDA ANCORA IL VOLANTE</w:t>
      </w:r>
    </w:p>
    <w:p w14:paraId="78AFF2CE" w14:textId="77777777" w:rsidR="00625DD5" w:rsidRPr="00725CEA" w:rsidRDefault="00625DD5" w:rsidP="00725CEA">
      <w:pPr>
        <w:spacing w:after="120"/>
        <w:jc w:val="center"/>
        <w:rPr>
          <w:rFonts w:asciiTheme="minorHAnsi" w:eastAsia="Yu Mincho" w:hAnsiTheme="minorHAnsi" w:cs="Arial"/>
          <w:b/>
          <w:bCs/>
          <w:i/>
          <w:iCs/>
          <w:kern w:val="2"/>
          <w:sz w:val="22"/>
          <w:szCs w:val="22"/>
          <w:lang w:eastAsia="en-GB"/>
          <w14:ligatures w14:val="standardContextual"/>
        </w:rPr>
      </w:pPr>
      <w:r w:rsidRPr="00725CEA">
        <w:rPr>
          <w:rFonts w:asciiTheme="minorHAnsi" w:eastAsia="Yu Mincho" w:hAnsiTheme="minorHAnsi" w:cs="Arial"/>
          <w:b/>
          <w:bCs/>
          <w:i/>
          <w:iCs/>
          <w:kern w:val="2"/>
          <w:sz w:val="22"/>
          <w:szCs w:val="22"/>
          <w:lang w:eastAsia="en-GB"/>
          <w14:ligatures w14:val="standardContextual"/>
        </w:rPr>
        <w:t>Uno studio indipendente condotto in diversi Paesi e commissionato da XPENG rivela un crescente divario tra l'accettazione intellettuale dell'IA da parte dell'Europa e la sua prontezza emotiva nei confronti della mobilità autonoma.</w:t>
      </w:r>
    </w:p>
    <w:p w14:paraId="1102B45C" w14:textId="77777777" w:rsidR="00625DD5" w:rsidRPr="00725CEA" w:rsidRDefault="00625DD5" w:rsidP="00725CEA">
      <w:pPr>
        <w:spacing w:after="120"/>
        <w:jc w:val="center"/>
        <w:rPr>
          <w:rFonts w:asciiTheme="minorHAnsi" w:eastAsia="Yu Mincho" w:hAnsiTheme="minorHAnsi" w:cs="Arial"/>
          <w:i/>
          <w:iCs/>
          <w:kern w:val="2"/>
          <w:sz w:val="22"/>
          <w:szCs w:val="22"/>
          <w:lang w:eastAsia="en-GB"/>
          <w14:ligatures w14:val="standardContextual"/>
        </w:rPr>
      </w:pPr>
      <w:r w:rsidRPr="00725CEA">
        <w:rPr>
          <w:rFonts w:asciiTheme="minorHAnsi" w:eastAsia="Yu Mincho" w:hAnsiTheme="minorHAnsi" w:cs="Arial"/>
          <w:i/>
          <w:iCs/>
          <w:kern w:val="2"/>
          <w:sz w:val="22"/>
          <w:szCs w:val="22"/>
          <w:lang w:eastAsia="en-GB"/>
          <w14:ligatures w14:val="standardContextual"/>
        </w:rPr>
        <w:t>Solo il 13% degli europei si sente a proprio agio con auto a guida completamente autonoma, sebbene molti si affidino già a funzioni di guida abilitate dall'IA nella mobilità quotidiana.</w:t>
      </w:r>
    </w:p>
    <w:p w14:paraId="240A8893" w14:textId="77777777" w:rsidR="00625DD5" w:rsidRDefault="00625DD5" w:rsidP="00BF1345">
      <w:pPr>
        <w:spacing w:after="120"/>
        <w:jc w:val="both"/>
        <w:rPr>
          <w:rFonts w:asciiTheme="minorHAnsi" w:eastAsia="Yu Mincho" w:hAnsiTheme="minorHAnsi" w:cs="Arial"/>
          <w:b/>
          <w:bCs/>
          <w:kern w:val="2"/>
          <w:sz w:val="22"/>
          <w:szCs w:val="22"/>
          <w:lang w:eastAsia="en-GB"/>
          <w14:ligatures w14:val="standardContextual"/>
        </w:rPr>
      </w:pPr>
    </w:p>
    <w:p w14:paraId="105E7C67" w14:textId="07EE4A9D" w:rsidR="00625DD5" w:rsidRPr="00625DD5" w:rsidRDefault="00625DD5" w:rsidP="00625DD5">
      <w:pPr>
        <w:spacing w:after="120"/>
        <w:jc w:val="both"/>
        <w:rPr>
          <w:rFonts w:asciiTheme="minorHAnsi" w:eastAsia="Yu Mincho" w:hAnsiTheme="minorHAnsi" w:cs="Arial"/>
          <w:kern w:val="2"/>
          <w:sz w:val="22"/>
          <w:szCs w:val="22"/>
          <w:lang w:eastAsia="en-GB"/>
          <w14:ligatures w14:val="standardContextual"/>
        </w:rPr>
      </w:pPr>
      <w:r>
        <w:rPr>
          <w:rFonts w:asciiTheme="minorHAnsi" w:eastAsia="Yu Mincho" w:hAnsiTheme="minorHAnsi" w:cs="Arial"/>
          <w:b/>
          <w:bCs/>
          <w:kern w:val="2"/>
          <w:sz w:val="22"/>
          <w:szCs w:val="22"/>
          <w:lang w:eastAsia="en-GB"/>
          <w14:ligatures w14:val="standardContextual"/>
        </w:rPr>
        <w:t>Londra</w:t>
      </w:r>
      <w:r w:rsidR="00D27614" w:rsidRPr="00BF160B">
        <w:rPr>
          <w:rFonts w:asciiTheme="minorHAnsi" w:eastAsia="Yu Mincho" w:hAnsiTheme="minorHAnsi" w:cs="Arial"/>
          <w:b/>
          <w:bCs/>
          <w:kern w:val="2"/>
          <w:sz w:val="22"/>
          <w:szCs w:val="22"/>
          <w:lang w:eastAsia="en-GB"/>
          <w14:ligatures w14:val="standardContextual"/>
        </w:rPr>
        <w:t xml:space="preserve">, </w:t>
      </w:r>
      <w:r>
        <w:rPr>
          <w:rFonts w:asciiTheme="minorHAnsi" w:eastAsia="Yu Mincho" w:hAnsiTheme="minorHAnsi" w:cs="Arial"/>
          <w:b/>
          <w:bCs/>
          <w:kern w:val="2"/>
          <w:sz w:val="22"/>
          <w:szCs w:val="22"/>
          <w:lang w:eastAsia="en-GB"/>
          <w14:ligatures w14:val="standardContextual"/>
        </w:rPr>
        <w:t>3 giugno</w:t>
      </w:r>
      <w:r w:rsidR="00D27614" w:rsidRPr="00BF160B">
        <w:rPr>
          <w:rFonts w:asciiTheme="minorHAnsi" w:eastAsia="Yu Mincho" w:hAnsiTheme="minorHAnsi" w:cs="Arial"/>
          <w:b/>
          <w:bCs/>
          <w:kern w:val="2"/>
          <w:sz w:val="22"/>
          <w:szCs w:val="22"/>
          <w:lang w:eastAsia="en-GB"/>
          <w14:ligatures w14:val="standardContextual"/>
        </w:rPr>
        <w:t xml:space="preserve"> 2026</w:t>
      </w:r>
      <w:r w:rsidR="00D23EBD" w:rsidRPr="00BF160B">
        <w:rPr>
          <w:rFonts w:asciiTheme="minorHAnsi" w:eastAsia="Yu Mincho" w:hAnsiTheme="minorHAnsi" w:cs="Arial"/>
          <w:kern w:val="2"/>
          <w:sz w:val="22"/>
          <w:szCs w:val="22"/>
          <w:lang w:eastAsia="en-GB"/>
          <w14:ligatures w14:val="standardContextual"/>
        </w:rPr>
        <w:t xml:space="preserve"> </w:t>
      </w:r>
      <w:r w:rsidR="00BE3ECD" w:rsidRPr="00BF160B">
        <w:rPr>
          <w:rFonts w:asciiTheme="minorHAnsi" w:eastAsia="Yu Mincho" w:hAnsiTheme="minorHAnsi" w:cs="Arial"/>
          <w:kern w:val="2"/>
          <w:sz w:val="22"/>
          <w:szCs w:val="22"/>
          <w:lang w:eastAsia="en-GB"/>
          <w14:ligatures w14:val="standardContextual"/>
        </w:rPr>
        <w:t>-</w:t>
      </w:r>
      <w:r w:rsidR="003F7F82" w:rsidRPr="00BF160B">
        <w:rPr>
          <w:rFonts w:asciiTheme="minorHAnsi" w:eastAsia="Yu Mincho" w:hAnsiTheme="minorHAnsi" w:cs="Arial"/>
          <w:kern w:val="2"/>
          <w:sz w:val="22"/>
          <w:szCs w:val="22"/>
          <w:lang w:eastAsia="en-GB"/>
          <w14:ligatures w14:val="standardContextual"/>
        </w:rPr>
        <w:t xml:space="preserve"> </w:t>
      </w:r>
      <w:r w:rsidR="00BF1345" w:rsidRPr="00BF160B">
        <w:rPr>
          <w:rFonts w:asciiTheme="minorHAnsi" w:eastAsia="Yu Mincho" w:hAnsiTheme="minorHAnsi" w:cs="Arial"/>
          <w:kern w:val="2"/>
          <w:sz w:val="22"/>
          <w:szCs w:val="22"/>
          <w:lang w:eastAsia="en-GB"/>
          <w14:ligatures w14:val="standardContextual"/>
        </w:rPr>
        <w:t xml:space="preserve">XPENG </w:t>
      </w:r>
      <w:r w:rsidRPr="00625DD5">
        <w:rPr>
          <w:rFonts w:asciiTheme="minorHAnsi" w:eastAsia="Yu Mincho" w:hAnsiTheme="minorHAnsi" w:cs="Arial"/>
          <w:kern w:val="2"/>
          <w:sz w:val="22"/>
          <w:szCs w:val="22"/>
          <w:lang w:eastAsia="en-GB"/>
          <w14:ligatures w14:val="standardContextual"/>
        </w:rPr>
        <w:t xml:space="preserve">ha rilasciato oggi uno studio quantitativo indipendente sulle attitudini del pubblico nei confronti dell'Intelligenza Artificiale (IA) e della </w:t>
      </w:r>
      <w:proofErr w:type="spellStart"/>
      <w:r w:rsidRPr="00625DD5">
        <w:rPr>
          <w:rFonts w:asciiTheme="minorHAnsi" w:eastAsia="Yu Mincho" w:hAnsiTheme="minorHAnsi" w:cs="Arial"/>
          <w:kern w:val="2"/>
          <w:sz w:val="22"/>
          <w:szCs w:val="22"/>
          <w:lang w:eastAsia="en-GB"/>
          <w14:ligatures w14:val="standardContextual"/>
        </w:rPr>
        <w:t>Physical</w:t>
      </w:r>
      <w:proofErr w:type="spellEnd"/>
      <w:r w:rsidRPr="00625DD5">
        <w:rPr>
          <w:rFonts w:asciiTheme="minorHAnsi" w:eastAsia="Yu Mincho" w:hAnsiTheme="minorHAnsi" w:cs="Arial"/>
          <w:kern w:val="2"/>
          <w:sz w:val="22"/>
          <w:szCs w:val="22"/>
          <w:lang w:eastAsia="en-GB"/>
          <w14:ligatures w14:val="standardContextual"/>
        </w:rPr>
        <w:t xml:space="preserve"> AI in sei Paesi europei, con un campione di riferimento proveniente dalle principali città cinesi. I risultati rivelano un paradosso tipicamente europeo: un'elevata familiarità con l'IA e un uso frequente dell'assistenza alla guida abilitata dall'IA, abbinati a una profonda riluttanza a cedere il controllo a sistemi completamente autonomi. Sebbene l'82% degli europei dichiari di comprendere l'IA, appena il 21% si sente a proprio agio con la </w:t>
      </w:r>
      <w:proofErr w:type="spellStart"/>
      <w:r w:rsidRPr="00625DD5">
        <w:rPr>
          <w:rFonts w:asciiTheme="minorHAnsi" w:eastAsia="Yu Mincho" w:hAnsiTheme="minorHAnsi" w:cs="Arial"/>
          <w:kern w:val="2"/>
          <w:sz w:val="22"/>
          <w:szCs w:val="22"/>
          <w:lang w:eastAsia="en-GB"/>
          <w14:ligatures w14:val="standardContextual"/>
        </w:rPr>
        <w:t>Physical</w:t>
      </w:r>
      <w:proofErr w:type="spellEnd"/>
      <w:r w:rsidRPr="00625DD5">
        <w:rPr>
          <w:rFonts w:asciiTheme="minorHAnsi" w:eastAsia="Yu Mincho" w:hAnsiTheme="minorHAnsi" w:cs="Arial"/>
          <w:kern w:val="2"/>
          <w:sz w:val="22"/>
          <w:szCs w:val="22"/>
          <w:lang w:eastAsia="en-GB"/>
          <w14:ligatures w14:val="standardContextual"/>
        </w:rPr>
        <w:t xml:space="preserve"> AI in generale e solo il 13% salirebbe oggi su un'auto a guida completamente autonoma, rispetto al 70% registrato in Cina.</w:t>
      </w:r>
    </w:p>
    <w:p w14:paraId="13D73591" w14:textId="77777777" w:rsidR="00625DD5" w:rsidRDefault="00625DD5" w:rsidP="00625DD5">
      <w:pPr>
        <w:spacing w:after="120"/>
        <w:jc w:val="both"/>
        <w:rPr>
          <w:rFonts w:asciiTheme="minorHAnsi" w:eastAsia="Yu Mincho" w:hAnsiTheme="minorHAnsi" w:cs="Arial"/>
          <w:kern w:val="2"/>
          <w:sz w:val="22"/>
          <w:szCs w:val="22"/>
          <w:lang w:eastAsia="en-GB"/>
          <w14:ligatures w14:val="standardContextual"/>
        </w:rPr>
      </w:pPr>
      <w:r w:rsidRPr="00625DD5">
        <w:rPr>
          <w:rFonts w:asciiTheme="minorHAnsi" w:eastAsia="Yu Mincho" w:hAnsiTheme="minorHAnsi" w:cs="Arial"/>
          <w:kern w:val="2"/>
          <w:sz w:val="22"/>
          <w:szCs w:val="22"/>
          <w:lang w:eastAsia="en-GB"/>
          <w14:ligatures w14:val="standardContextual"/>
        </w:rPr>
        <w:t>Gli europei convivono sempre più con l'intelligenza artificiale ogni giorno. La usano al lavoro, si affidano a essa nei servizi digitali e interagiscono già con sistemi alimentati dall'IA nei veicoli moderni. Tuttavia, nel momento in cui l'IA passa dagli schermi al mondo fisico e inizia a prendere decisioni nella vita reale, la fiducia del pubblico crolla nettamente. I risultati rivelano cinque tensioni che definiranno il modo in cui la mobilità IA guadagnerà la fiducia del pubblico in Europa:</w:t>
      </w:r>
    </w:p>
    <w:p w14:paraId="62398E74" w14:textId="77777777" w:rsidR="00625DD5" w:rsidRPr="00625DD5" w:rsidRDefault="00625DD5" w:rsidP="00625DD5">
      <w:pPr>
        <w:numPr>
          <w:ilvl w:val="0"/>
          <w:numId w:val="28"/>
        </w:numPr>
        <w:spacing w:after="120"/>
        <w:jc w:val="both"/>
        <w:rPr>
          <w:rFonts w:asciiTheme="minorHAnsi" w:eastAsia="Yu Mincho" w:hAnsiTheme="minorHAnsi" w:cs="Arial"/>
          <w:kern w:val="2"/>
          <w:sz w:val="22"/>
          <w:szCs w:val="22"/>
          <w:lang w:eastAsia="en-GB"/>
          <w14:ligatures w14:val="standardContextual"/>
        </w:rPr>
      </w:pPr>
      <w:r w:rsidRPr="00625DD5">
        <w:rPr>
          <w:rFonts w:asciiTheme="minorHAnsi" w:eastAsia="Yu Mincho" w:hAnsiTheme="minorHAnsi" w:cs="Arial"/>
          <w:b/>
          <w:bCs/>
          <w:kern w:val="2"/>
          <w:sz w:val="22"/>
          <w:szCs w:val="22"/>
          <w:lang w:eastAsia="en-GB"/>
          <w14:ligatures w14:val="standardContextual"/>
        </w:rPr>
        <w:t>Assistenza accettata, resistenza all'autonomia:</w:t>
      </w:r>
      <w:r w:rsidRPr="00625DD5">
        <w:rPr>
          <w:rFonts w:asciiTheme="minorHAnsi" w:eastAsia="Yu Mincho" w:hAnsiTheme="minorHAnsi" w:cs="Arial"/>
          <w:kern w:val="2"/>
          <w:sz w:val="22"/>
          <w:szCs w:val="22"/>
          <w:lang w:eastAsia="en-GB"/>
          <w14:ligatures w14:val="standardContextual"/>
        </w:rPr>
        <w:t xml:space="preserve"> Il 42-53% degli europei si sente a proprio agio con funzioni di assistenza alla guida come il cruise control adattivo, il riconoscimento dei segnali stradali e il mantenimento della corsia. La serenità crolla quando l'IA viene concepita come sostituto alla guida o nel prendere decisioni di emergenza; complessivamente, per quanto riguarda le automobili, il 53% esprime poca o nessuna fiducia nell'IA.</w:t>
      </w:r>
    </w:p>
    <w:p w14:paraId="551AEA7B" w14:textId="77777777" w:rsidR="00625DD5" w:rsidRPr="00625DD5" w:rsidRDefault="00625DD5" w:rsidP="00625DD5">
      <w:pPr>
        <w:numPr>
          <w:ilvl w:val="0"/>
          <w:numId w:val="28"/>
        </w:numPr>
        <w:spacing w:after="120"/>
        <w:jc w:val="both"/>
        <w:rPr>
          <w:rFonts w:asciiTheme="minorHAnsi" w:eastAsia="Yu Mincho" w:hAnsiTheme="minorHAnsi" w:cs="Arial"/>
          <w:kern w:val="2"/>
          <w:sz w:val="22"/>
          <w:szCs w:val="22"/>
          <w:lang w:eastAsia="en-GB"/>
          <w14:ligatures w14:val="standardContextual"/>
        </w:rPr>
      </w:pPr>
      <w:r w:rsidRPr="00625DD5">
        <w:rPr>
          <w:rFonts w:asciiTheme="minorHAnsi" w:eastAsia="Yu Mincho" w:hAnsiTheme="minorHAnsi" w:cs="Arial"/>
          <w:b/>
          <w:bCs/>
          <w:kern w:val="2"/>
          <w:sz w:val="22"/>
          <w:szCs w:val="22"/>
          <w:lang w:eastAsia="en-GB"/>
          <w14:ligatures w14:val="standardContextual"/>
        </w:rPr>
        <w:t>Familiarità senza comfort:</w:t>
      </w:r>
      <w:r w:rsidRPr="00625DD5">
        <w:rPr>
          <w:rFonts w:asciiTheme="minorHAnsi" w:eastAsia="Yu Mincho" w:hAnsiTheme="minorHAnsi" w:cs="Arial"/>
          <w:kern w:val="2"/>
          <w:sz w:val="22"/>
          <w:szCs w:val="22"/>
          <w:lang w:eastAsia="en-GB"/>
          <w14:ligatures w14:val="standardContextual"/>
        </w:rPr>
        <w:t xml:space="preserve"> Gli europei dichiarano una forte familiarità con l'IA (82%) ma un basso livello di comfort con la </w:t>
      </w:r>
      <w:proofErr w:type="spellStart"/>
      <w:r w:rsidRPr="00625DD5">
        <w:rPr>
          <w:rFonts w:asciiTheme="minorHAnsi" w:eastAsia="Yu Mincho" w:hAnsiTheme="minorHAnsi" w:cs="Arial"/>
          <w:kern w:val="2"/>
          <w:sz w:val="22"/>
          <w:szCs w:val="22"/>
          <w:lang w:eastAsia="en-GB"/>
          <w14:ligatures w14:val="standardContextual"/>
        </w:rPr>
        <w:t>Physical</w:t>
      </w:r>
      <w:proofErr w:type="spellEnd"/>
      <w:r w:rsidRPr="00625DD5">
        <w:rPr>
          <w:rFonts w:asciiTheme="minorHAnsi" w:eastAsia="Yu Mincho" w:hAnsiTheme="minorHAnsi" w:cs="Arial"/>
          <w:kern w:val="2"/>
          <w:sz w:val="22"/>
          <w:szCs w:val="22"/>
          <w:lang w:eastAsia="en-GB"/>
          <w14:ligatures w14:val="standardContextual"/>
        </w:rPr>
        <w:t xml:space="preserve"> AI (21%). Molti di coloro che affermano di usare "raramente o mai" la </w:t>
      </w:r>
      <w:proofErr w:type="spellStart"/>
      <w:r w:rsidRPr="00625DD5">
        <w:rPr>
          <w:rFonts w:asciiTheme="minorHAnsi" w:eastAsia="Yu Mincho" w:hAnsiTheme="minorHAnsi" w:cs="Arial"/>
          <w:kern w:val="2"/>
          <w:sz w:val="22"/>
          <w:szCs w:val="22"/>
          <w:lang w:eastAsia="en-GB"/>
          <w14:ligatures w14:val="standardContextual"/>
        </w:rPr>
        <w:t>Physical</w:t>
      </w:r>
      <w:proofErr w:type="spellEnd"/>
      <w:r w:rsidRPr="00625DD5">
        <w:rPr>
          <w:rFonts w:asciiTheme="minorHAnsi" w:eastAsia="Yu Mincho" w:hAnsiTheme="minorHAnsi" w:cs="Arial"/>
          <w:kern w:val="2"/>
          <w:sz w:val="22"/>
          <w:szCs w:val="22"/>
          <w:lang w:eastAsia="en-GB"/>
          <w14:ligatures w14:val="standardContextual"/>
        </w:rPr>
        <w:t xml:space="preserve"> AI si affidano in realtà a funzioni abilitate dall'IA nei propri veicoli, rivelando un divario di percezione e di inquadramento del concetto.</w:t>
      </w:r>
    </w:p>
    <w:p w14:paraId="04A25192" w14:textId="1360E632" w:rsidR="00625DD5" w:rsidRPr="00625DD5" w:rsidRDefault="00625DD5" w:rsidP="00625DD5">
      <w:pPr>
        <w:numPr>
          <w:ilvl w:val="0"/>
          <w:numId w:val="28"/>
        </w:numPr>
        <w:spacing w:after="120"/>
        <w:jc w:val="both"/>
        <w:rPr>
          <w:rFonts w:asciiTheme="minorHAnsi" w:eastAsia="Yu Mincho" w:hAnsiTheme="minorHAnsi" w:cs="Arial"/>
          <w:kern w:val="2"/>
          <w:sz w:val="22"/>
          <w:szCs w:val="22"/>
          <w:lang w:eastAsia="en-GB"/>
          <w14:ligatures w14:val="standardContextual"/>
        </w:rPr>
      </w:pPr>
      <w:r w:rsidRPr="00625DD5">
        <w:rPr>
          <w:rFonts w:asciiTheme="minorHAnsi" w:eastAsia="Yu Mincho" w:hAnsiTheme="minorHAnsi" w:cs="Arial"/>
          <w:b/>
          <w:bCs/>
          <w:kern w:val="2"/>
          <w:sz w:val="22"/>
          <w:szCs w:val="22"/>
          <w:lang w:eastAsia="en-GB"/>
          <w14:ligatures w14:val="standardContextual"/>
        </w:rPr>
        <w:t>La sostenibilità orienta l'opinione pubblica:</w:t>
      </w:r>
      <w:r w:rsidRPr="00625DD5">
        <w:rPr>
          <w:rFonts w:asciiTheme="minorHAnsi" w:eastAsia="Yu Mincho" w:hAnsiTheme="minorHAnsi" w:cs="Arial"/>
          <w:kern w:val="2"/>
          <w:sz w:val="22"/>
          <w:szCs w:val="22"/>
          <w:lang w:eastAsia="en-GB"/>
          <w14:ligatures w14:val="standardContextual"/>
        </w:rPr>
        <w:t xml:space="preserve"> Il 57% degli europei dichiara che una prova credibile del fatto che la mobilità IA migliori la sostenibilità cambierebbe in positivo la </w:t>
      </w:r>
      <w:r w:rsidRPr="00625DD5">
        <w:rPr>
          <w:rFonts w:asciiTheme="minorHAnsi" w:eastAsia="Yu Mincho" w:hAnsiTheme="minorHAnsi" w:cs="Arial"/>
          <w:kern w:val="2"/>
          <w:sz w:val="22"/>
          <w:szCs w:val="22"/>
          <w:lang w:eastAsia="en-GB"/>
          <w14:ligatures w14:val="standardContextual"/>
        </w:rPr>
        <w:lastRenderedPageBreak/>
        <w:t>loro percezione (90% in Cina). L'attuale convinzione che la mobilità IA aumenti la sicurezza o la sostenibilità si attesta intorno a una persona su quattro.</w:t>
      </w:r>
      <w:r>
        <w:rPr>
          <w:rFonts w:asciiTheme="minorHAnsi" w:eastAsia="Yu Mincho" w:hAnsiTheme="minorHAnsi" w:cs="Arial"/>
          <w:kern w:val="2"/>
          <w:sz w:val="22"/>
          <w:szCs w:val="22"/>
          <w:lang w:eastAsia="en-GB"/>
          <w14:ligatures w14:val="standardContextual"/>
        </w:rPr>
        <w:t xml:space="preserve"> </w:t>
      </w:r>
    </w:p>
    <w:p w14:paraId="621FFC31" w14:textId="5DF72275" w:rsidR="00625DD5" w:rsidRPr="00625DD5" w:rsidRDefault="00625DD5" w:rsidP="00625DD5">
      <w:pPr>
        <w:numPr>
          <w:ilvl w:val="0"/>
          <w:numId w:val="28"/>
        </w:numPr>
        <w:spacing w:after="120"/>
        <w:jc w:val="both"/>
        <w:rPr>
          <w:rFonts w:asciiTheme="minorHAnsi" w:eastAsia="Yu Mincho" w:hAnsiTheme="minorHAnsi" w:cs="Arial"/>
          <w:kern w:val="2"/>
          <w:sz w:val="22"/>
          <w:szCs w:val="22"/>
          <w:lang w:eastAsia="en-GB"/>
          <w14:ligatures w14:val="standardContextual"/>
        </w:rPr>
      </w:pPr>
      <w:r w:rsidRPr="00625DD5">
        <w:rPr>
          <w:rFonts w:asciiTheme="minorHAnsi" w:eastAsia="Yu Mincho" w:hAnsiTheme="minorHAnsi" w:cs="Arial"/>
          <w:b/>
          <w:bCs/>
          <w:kern w:val="2"/>
          <w:sz w:val="22"/>
          <w:szCs w:val="22"/>
          <w:lang w:eastAsia="en-GB"/>
          <w14:ligatures w14:val="standardContextual"/>
        </w:rPr>
        <w:t>L'Europa non è un mercato unico:</w:t>
      </w:r>
      <w:r w:rsidRPr="00625DD5">
        <w:rPr>
          <w:rFonts w:asciiTheme="minorHAnsi" w:eastAsia="Yu Mincho" w:hAnsiTheme="minorHAnsi" w:cs="Arial"/>
          <w:kern w:val="2"/>
          <w:sz w:val="22"/>
          <w:szCs w:val="22"/>
          <w:lang w:eastAsia="en-GB"/>
          <w14:ligatures w14:val="standardContextual"/>
        </w:rPr>
        <w:t xml:space="preserve"> La Spagna è relativamente aperta (63% di fiducia nell'IA applicata alle auto; 32% a proprio agio con la </w:t>
      </w:r>
      <w:proofErr w:type="spellStart"/>
      <w:r w:rsidRPr="00625DD5">
        <w:rPr>
          <w:rFonts w:asciiTheme="minorHAnsi" w:eastAsia="Yu Mincho" w:hAnsiTheme="minorHAnsi" w:cs="Arial"/>
          <w:kern w:val="2"/>
          <w:sz w:val="22"/>
          <w:szCs w:val="22"/>
          <w:lang w:eastAsia="en-GB"/>
          <w14:ligatures w14:val="standardContextual"/>
        </w:rPr>
        <w:t>Physical</w:t>
      </w:r>
      <w:proofErr w:type="spellEnd"/>
      <w:r w:rsidRPr="00625DD5">
        <w:rPr>
          <w:rFonts w:asciiTheme="minorHAnsi" w:eastAsia="Yu Mincho" w:hAnsiTheme="minorHAnsi" w:cs="Arial"/>
          <w:kern w:val="2"/>
          <w:sz w:val="22"/>
          <w:szCs w:val="22"/>
          <w:lang w:eastAsia="en-GB"/>
          <w14:ligatures w14:val="standardContextual"/>
        </w:rPr>
        <w:t xml:space="preserve"> AI), mentre il Regno Unito e la Svezia si mostrano più cauti (rispettivamente 34% e 32% di fiducia nell'IA nelle auto). I tedeschi tendono a ridimensionare il ruolo del proprio Paese nell'IA: il 59% ritiene che la Germania si trovi in una posizione di ritardo nell'adozione di queste tecnologie.</w:t>
      </w:r>
    </w:p>
    <w:p w14:paraId="001ADFD0" w14:textId="5E29EF19" w:rsidR="00625DD5" w:rsidRPr="00625DD5" w:rsidRDefault="00625DD5" w:rsidP="00625DD5">
      <w:pPr>
        <w:numPr>
          <w:ilvl w:val="0"/>
          <w:numId w:val="28"/>
        </w:numPr>
        <w:spacing w:after="120"/>
        <w:jc w:val="both"/>
        <w:rPr>
          <w:rFonts w:asciiTheme="minorHAnsi" w:eastAsia="Yu Mincho" w:hAnsiTheme="minorHAnsi" w:cs="Arial"/>
          <w:kern w:val="2"/>
          <w:sz w:val="22"/>
          <w:szCs w:val="22"/>
          <w:lang w:eastAsia="en-GB"/>
          <w14:ligatures w14:val="standardContextual"/>
        </w:rPr>
      </w:pPr>
      <w:r w:rsidRPr="00625DD5">
        <w:rPr>
          <w:rFonts w:asciiTheme="minorHAnsi" w:eastAsia="Yu Mincho" w:hAnsiTheme="minorHAnsi" w:cs="Arial"/>
          <w:b/>
          <w:bCs/>
          <w:kern w:val="2"/>
          <w:sz w:val="22"/>
          <w:szCs w:val="22"/>
          <w:lang w:eastAsia="en-GB"/>
          <w14:ligatures w14:val="standardContextual"/>
        </w:rPr>
        <w:t>La fiducia è il collo di bottiglia:</w:t>
      </w:r>
      <w:r w:rsidRPr="00625DD5">
        <w:rPr>
          <w:rFonts w:asciiTheme="minorHAnsi" w:eastAsia="Yu Mincho" w:hAnsiTheme="minorHAnsi" w:cs="Arial"/>
          <w:kern w:val="2"/>
          <w:sz w:val="22"/>
          <w:szCs w:val="22"/>
          <w:lang w:eastAsia="en-GB"/>
          <w14:ligatures w14:val="standardContextual"/>
        </w:rPr>
        <w:t xml:space="preserve"> Una risicata maggioranza degli europei (54%) ha almeno un po' di fiducia nel fatto che le grandi aziende tecnologiche e della mobilità </w:t>
      </w:r>
      <w:proofErr w:type="gramStart"/>
      <w:r w:rsidRPr="00625DD5">
        <w:rPr>
          <w:rFonts w:asciiTheme="minorHAnsi" w:eastAsia="Yu Mincho" w:hAnsiTheme="minorHAnsi" w:cs="Arial"/>
          <w:kern w:val="2"/>
          <w:sz w:val="22"/>
          <w:szCs w:val="22"/>
          <w:lang w:eastAsia="en-GB"/>
          <w14:ligatures w14:val="standardContextual"/>
        </w:rPr>
        <w:t>agiscano</w:t>
      </w:r>
      <w:proofErr w:type="gramEnd"/>
      <w:r w:rsidRPr="00625DD5">
        <w:rPr>
          <w:rFonts w:asciiTheme="minorHAnsi" w:eastAsia="Yu Mincho" w:hAnsiTheme="minorHAnsi" w:cs="Arial"/>
          <w:kern w:val="2"/>
          <w:sz w:val="22"/>
          <w:szCs w:val="22"/>
          <w:lang w:eastAsia="en-GB"/>
          <w14:ligatures w14:val="standardContextual"/>
        </w:rPr>
        <w:t xml:space="preserve"> nell'interesse dei consumatori, un dato decisamente inferiore rispetto alla Cina (94%). Il timore principale è la perdita del controllo umano sulle macchine (61%), che supera le preoccupazioni per la perdita di posti di lavoro (46%).</w:t>
      </w:r>
    </w:p>
    <w:p w14:paraId="2208D348" w14:textId="77777777" w:rsidR="00625DD5" w:rsidRPr="00625DD5" w:rsidRDefault="00625DD5" w:rsidP="00625DD5">
      <w:pPr>
        <w:spacing w:after="120"/>
        <w:jc w:val="both"/>
        <w:rPr>
          <w:rFonts w:asciiTheme="minorHAnsi" w:eastAsia="Yu Mincho" w:hAnsiTheme="minorHAnsi" w:cs="Arial"/>
          <w:kern w:val="2"/>
          <w:sz w:val="22"/>
          <w:szCs w:val="22"/>
          <w:lang w:eastAsia="en-GB"/>
          <w14:ligatures w14:val="standardContextual"/>
        </w:rPr>
      </w:pPr>
      <w:r w:rsidRPr="00625DD5">
        <w:rPr>
          <w:rFonts w:asciiTheme="minorHAnsi" w:eastAsia="Yu Mincho" w:hAnsiTheme="minorHAnsi" w:cs="Arial"/>
          <w:kern w:val="2"/>
          <w:sz w:val="22"/>
          <w:szCs w:val="22"/>
          <w:lang w:eastAsia="en-GB"/>
          <w14:ligatures w14:val="standardContextual"/>
        </w:rPr>
        <w:t>I dati indicano che la barriera in Europa non è la disponibilità di funzioni avanzate, bensì la "licenza sociale" per implementarle. Gli europei accettano l'IA quando questa aumenta visibilmente la capacità di giudizio umana e rimane spiegabile e interrompibile. L'accettazione cala quando l'IA viene posizionata come un decisore imperscrutabile. Guadagni misurabili in termini di sostenibilità e una governance trasparente della sicurezza sono leve decisive per la fiducia del pubblico.</w:t>
      </w:r>
    </w:p>
    <w:p w14:paraId="479E24C8" w14:textId="77777777" w:rsidR="00625DD5" w:rsidRPr="00625DD5" w:rsidRDefault="00625DD5" w:rsidP="00625DD5">
      <w:pPr>
        <w:spacing w:after="120"/>
        <w:jc w:val="both"/>
        <w:rPr>
          <w:rFonts w:asciiTheme="minorHAnsi" w:eastAsia="Yu Mincho" w:hAnsiTheme="minorHAnsi" w:cs="Arial"/>
          <w:b/>
          <w:bCs/>
          <w:kern w:val="2"/>
          <w:sz w:val="22"/>
          <w:szCs w:val="22"/>
          <w:lang w:eastAsia="en-GB"/>
          <w14:ligatures w14:val="standardContextual"/>
        </w:rPr>
      </w:pPr>
      <w:r w:rsidRPr="00625DD5">
        <w:rPr>
          <w:rFonts w:asciiTheme="minorHAnsi" w:eastAsia="Yu Mincho" w:hAnsiTheme="minorHAnsi" w:cs="Arial"/>
          <w:b/>
          <w:bCs/>
          <w:kern w:val="2"/>
          <w:sz w:val="22"/>
          <w:szCs w:val="22"/>
          <w:lang w:eastAsia="en-GB"/>
          <w14:ligatures w14:val="standardContextual"/>
        </w:rPr>
        <w:t>Il contesto: Europa contro Cina</w:t>
      </w:r>
    </w:p>
    <w:p w14:paraId="18F5FAA7" w14:textId="02495CE4" w:rsidR="00625DD5" w:rsidRPr="00625DD5" w:rsidRDefault="00625DD5" w:rsidP="00625DD5">
      <w:pPr>
        <w:spacing w:after="120"/>
        <w:jc w:val="both"/>
        <w:rPr>
          <w:rFonts w:asciiTheme="minorHAnsi" w:eastAsia="Yu Mincho" w:hAnsiTheme="minorHAnsi" w:cs="Arial"/>
          <w:kern w:val="2"/>
          <w:sz w:val="22"/>
          <w:szCs w:val="22"/>
          <w:lang w:eastAsia="en-GB"/>
          <w14:ligatures w14:val="standardContextual"/>
        </w:rPr>
      </w:pPr>
      <w:r w:rsidRPr="00625DD5">
        <w:rPr>
          <w:rFonts w:asciiTheme="minorHAnsi" w:eastAsia="Yu Mincho" w:hAnsiTheme="minorHAnsi" w:cs="Arial"/>
          <w:kern w:val="2"/>
          <w:sz w:val="22"/>
          <w:szCs w:val="22"/>
          <w:lang w:eastAsia="en-GB"/>
          <w14:ligatures w14:val="standardContextual"/>
        </w:rPr>
        <w:t xml:space="preserve">Entrambe le regioni registrano un'elevata familiarità con l'IA, ma i percorsi divergono. Gli intervistati cinesi riportano una fiducia intersettoriale più ampia (≈85-94%), un uso frequente della </w:t>
      </w:r>
      <w:proofErr w:type="spellStart"/>
      <w:r w:rsidRPr="00625DD5">
        <w:rPr>
          <w:rFonts w:asciiTheme="minorHAnsi" w:eastAsia="Yu Mincho" w:hAnsiTheme="minorHAnsi" w:cs="Arial"/>
          <w:kern w:val="2"/>
          <w:sz w:val="22"/>
          <w:szCs w:val="22"/>
          <w:lang w:eastAsia="en-GB"/>
          <w14:ligatures w14:val="standardContextual"/>
        </w:rPr>
        <w:t>Physical</w:t>
      </w:r>
      <w:proofErr w:type="spellEnd"/>
      <w:r w:rsidRPr="00625DD5">
        <w:rPr>
          <w:rFonts w:asciiTheme="minorHAnsi" w:eastAsia="Yu Mincho" w:hAnsiTheme="minorHAnsi" w:cs="Arial"/>
          <w:kern w:val="2"/>
          <w:sz w:val="22"/>
          <w:szCs w:val="22"/>
          <w:lang w:eastAsia="en-GB"/>
          <w14:ligatures w14:val="standardContextual"/>
        </w:rPr>
        <w:t xml:space="preserve"> AI (78% spesso/molto spesso) e un livello di comfort decisamente superiore con l'autonomia completa (70%). La posizione </w:t>
      </w:r>
      <w:r>
        <w:rPr>
          <w:rFonts w:asciiTheme="minorHAnsi" w:eastAsia="Yu Mincho" w:hAnsiTheme="minorHAnsi" w:cs="Arial"/>
          <w:kern w:val="2"/>
          <w:sz w:val="22"/>
          <w:szCs w:val="22"/>
          <w:lang w:eastAsia="en-GB"/>
          <w14:ligatures w14:val="standardContextual"/>
        </w:rPr>
        <w:t>prudente</w:t>
      </w:r>
      <w:r w:rsidRPr="00625DD5">
        <w:rPr>
          <w:rFonts w:asciiTheme="minorHAnsi" w:eastAsia="Yu Mincho" w:hAnsiTheme="minorHAnsi" w:cs="Arial"/>
          <w:kern w:val="2"/>
          <w:sz w:val="22"/>
          <w:szCs w:val="22"/>
          <w:lang w:eastAsia="en-GB"/>
          <w14:ligatures w14:val="standardContextual"/>
        </w:rPr>
        <w:t xml:space="preserve"> dell'Europa sottolinea l'importanza di un design incentrato sull'uomo (</w:t>
      </w:r>
      <w:r w:rsidRPr="00625DD5">
        <w:rPr>
          <w:rFonts w:asciiTheme="minorHAnsi" w:eastAsia="Yu Mincho" w:hAnsiTheme="minorHAnsi" w:cs="Arial"/>
          <w:i/>
          <w:iCs/>
          <w:kern w:val="2"/>
          <w:sz w:val="22"/>
          <w:szCs w:val="22"/>
          <w:lang w:eastAsia="en-GB"/>
          <w14:ligatures w14:val="standardContextual"/>
        </w:rPr>
        <w:t>human-</w:t>
      </w:r>
      <w:proofErr w:type="spellStart"/>
      <w:r w:rsidRPr="00625DD5">
        <w:rPr>
          <w:rFonts w:asciiTheme="minorHAnsi" w:eastAsia="Yu Mincho" w:hAnsiTheme="minorHAnsi" w:cs="Arial"/>
          <w:i/>
          <w:iCs/>
          <w:kern w:val="2"/>
          <w:sz w:val="22"/>
          <w:szCs w:val="22"/>
          <w:lang w:eastAsia="en-GB"/>
          <w14:ligatures w14:val="standardContextual"/>
        </w:rPr>
        <w:t>centric</w:t>
      </w:r>
      <w:proofErr w:type="spellEnd"/>
      <w:r w:rsidRPr="00625DD5">
        <w:rPr>
          <w:rFonts w:asciiTheme="minorHAnsi" w:eastAsia="Yu Mincho" w:hAnsiTheme="minorHAnsi" w:cs="Arial"/>
          <w:kern w:val="2"/>
          <w:sz w:val="22"/>
          <w:szCs w:val="22"/>
          <w:lang w:eastAsia="en-GB"/>
          <w14:ligatures w14:val="standardContextual"/>
        </w:rPr>
        <w:t>), di linee guida chiare e di un impatto verificato in modo indipendente.</w:t>
      </w:r>
    </w:p>
    <w:p w14:paraId="2F9DA505" w14:textId="77777777" w:rsidR="00625DD5" w:rsidRPr="00625DD5" w:rsidRDefault="00625DD5" w:rsidP="00625DD5">
      <w:pPr>
        <w:spacing w:after="120"/>
        <w:jc w:val="both"/>
        <w:rPr>
          <w:rFonts w:asciiTheme="minorHAnsi" w:eastAsia="Yu Mincho" w:hAnsiTheme="minorHAnsi" w:cs="Arial"/>
          <w:b/>
          <w:bCs/>
          <w:kern w:val="2"/>
          <w:sz w:val="22"/>
          <w:szCs w:val="22"/>
          <w:lang w:eastAsia="en-GB"/>
          <w14:ligatures w14:val="standardContextual"/>
        </w:rPr>
      </w:pPr>
      <w:r w:rsidRPr="00625DD5">
        <w:rPr>
          <w:rFonts w:asciiTheme="minorHAnsi" w:eastAsia="Yu Mincho" w:hAnsiTheme="minorHAnsi" w:cs="Arial"/>
          <w:b/>
          <w:bCs/>
          <w:kern w:val="2"/>
          <w:sz w:val="22"/>
          <w:szCs w:val="22"/>
          <w:lang w:eastAsia="en-GB"/>
          <w14:ligatures w14:val="standardContextual"/>
        </w:rPr>
        <w:t>Sostenibilità e fiducia</w:t>
      </w:r>
    </w:p>
    <w:p w14:paraId="4DD08E2D" w14:textId="77777777" w:rsidR="00625DD5" w:rsidRPr="00625DD5" w:rsidRDefault="00625DD5" w:rsidP="00625DD5">
      <w:pPr>
        <w:spacing w:after="120"/>
        <w:jc w:val="both"/>
        <w:rPr>
          <w:rFonts w:asciiTheme="minorHAnsi" w:eastAsia="Yu Mincho" w:hAnsiTheme="minorHAnsi" w:cs="Arial"/>
          <w:kern w:val="2"/>
          <w:sz w:val="22"/>
          <w:szCs w:val="22"/>
          <w:lang w:eastAsia="en-GB"/>
          <w14:ligatures w14:val="standardContextual"/>
        </w:rPr>
      </w:pPr>
      <w:r w:rsidRPr="00625DD5">
        <w:rPr>
          <w:rFonts w:asciiTheme="minorHAnsi" w:eastAsia="Yu Mincho" w:hAnsiTheme="minorHAnsi" w:cs="Arial"/>
          <w:kern w:val="2"/>
          <w:sz w:val="22"/>
          <w:szCs w:val="22"/>
          <w:lang w:eastAsia="en-GB"/>
          <w14:ligatures w14:val="standardContextual"/>
        </w:rPr>
        <w:t>Per il pubblico europeo, la sostenibilità funge da "architettura di legittimazione" per l'IA nella mobilità. Di fronte a riduzioni delle emissioni e a miglioramenti dei flussi di traffico comprovati e convalidati in modo indipendente, la maggioranza indica che cambierebbe orientamento in modo positivo. La pubblicazione di dati verificabili, e non di semplici proclami, emerge come un prerequisito per una più ampia accettazione.</w:t>
      </w:r>
    </w:p>
    <w:p w14:paraId="54EB3AA0" w14:textId="12038A6A" w:rsidR="00625DD5" w:rsidRPr="00625DD5" w:rsidRDefault="00677EF2" w:rsidP="00625DD5">
      <w:pPr>
        <w:spacing w:after="120"/>
        <w:jc w:val="both"/>
        <w:rPr>
          <w:rFonts w:asciiTheme="minorHAnsi" w:eastAsia="Yu Mincho" w:hAnsiTheme="minorHAnsi" w:cs="Arial"/>
          <w:kern w:val="2"/>
          <w:sz w:val="22"/>
          <w:szCs w:val="22"/>
          <w:lang w:eastAsia="en-GB"/>
          <w14:ligatures w14:val="standardContextual"/>
        </w:rPr>
      </w:pPr>
      <w:r w:rsidRPr="00677EF2">
        <w:rPr>
          <w:rFonts w:asciiTheme="minorHAnsi" w:eastAsia="Yu Mincho" w:hAnsiTheme="minorHAnsi" w:cs="Arial"/>
          <w:kern w:val="2"/>
          <w:sz w:val="22"/>
          <w:szCs w:val="22"/>
          <w:lang w:eastAsia="en-GB"/>
          <w14:ligatures w14:val="standardContextual"/>
        </w:rPr>
        <w:t xml:space="preserve">Brian </w:t>
      </w:r>
      <w:proofErr w:type="spellStart"/>
      <w:r w:rsidRPr="00677EF2">
        <w:rPr>
          <w:rFonts w:asciiTheme="minorHAnsi" w:eastAsia="Yu Mincho" w:hAnsiTheme="minorHAnsi" w:cs="Arial"/>
          <w:kern w:val="2"/>
          <w:sz w:val="22"/>
          <w:szCs w:val="22"/>
          <w:lang w:eastAsia="en-GB"/>
          <w14:ligatures w14:val="standardContextual"/>
        </w:rPr>
        <w:t>Gu</w:t>
      </w:r>
      <w:proofErr w:type="spellEnd"/>
      <w:r w:rsidRPr="00677EF2">
        <w:rPr>
          <w:rFonts w:asciiTheme="minorHAnsi" w:eastAsia="Yu Mincho" w:hAnsiTheme="minorHAnsi" w:cs="Arial"/>
          <w:kern w:val="2"/>
          <w:sz w:val="22"/>
          <w:szCs w:val="22"/>
          <w:lang w:eastAsia="en-GB"/>
          <w14:ligatures w14:val="standardContextual"/>
        </w:rPr>
        <w:t xml:space="preserve">, Vice Chairman </w:t>
      </w:r>
      <w:r>
        <w:rPr>
          <w:rFonts w:asciiTheme="minorHAnsi" w:eastAsia="Yu Mincho" w:hAnsiTheme="minorHAnsi" w:cs="Arial"/>
          <w:kern w:val="2"/>
          <w:sz w:val="22"/>
          <w:szCs w:val="22"/>
          <w:lang w:eastAsia="en-GB"/>
          <w14:ligatures w14:val="standardContextual"/>
        </w:rPr>
        <w:t>&amp;</w:t>
      </w:r>
      <w:r w:rsidRPr="00677EF2">
        <w:rPr>
          <w:rFonts w:asciiTheme="minorHAnsi" w:eastAsia="Yu Mincho" w:hAnsiTheme="minorHAnsi" w:cs="Arial"/>
          <w:kern w:val="2"/>
          <w:sz w:val="22"/>
          <w:szCs w:val="22"/>
          <w:lang w:eastAsia="en-GB"/>
          <w14:ligatures w14:val="standardContextual"/>
        </w:rPr>
        <w:t xml:space="preserve"> President di XPENG, ha dichiarato:</w:t>
      </w:r>
      <w:r>
        <w:rPr>
          <w:rFonts w:asciiTheme="minorHAnsi" w:eastAsia="Yu Mincho" w:hAnsiTheme="minorHAnsi" w:cs="Arial"/>
          <w:kern w:val="2"/>
          <w:sz w:val="22"/>
          <w:szCs w:val="22"/>
          <w:lang w:eastAsia="en-GB"/>
          <w14:ligatures w14:val="standardContextual"/>
        </w:rPr>
        <w:t xml:space="preserve"> “</w:t>
      </w:r>
      <w:r w:rsidRPr="00677EF2">
        <w:rPr>
          <w:rFonts w:asciiTheme="minorHAnsi" w:eastAsia="Yu Mincho" w:hAnsiTheme="minorHAnsi" w:cs="Arial"/>
          <w:kern w:val="2"/>
          <w:sz w:val="22"/>
          <w:szCs w:val="22"/>
          <w:lang w:eastAsia="en-GB"/>
          <w14:ligatures w14:val="standardContextual"/>
        </w:rPr>
        <w:t xml:space="preserve">La </w:t>
      </w:r>
      <w:proofErr w:type="spellStart"/>
      <w:r w:rsidRPr="00677EF2">
        <w:rPr>
          <w:rFonts w:asciiTheme="minorHAnsi" w:eastAsia="Yu Mincho" w:hAnsiTheme="minorHAnsi" w:cs="Arial"/>
          <w:kern w:val="2"/>
          <w:sz w:val="22"/>
          <w:szCs w:val="22"/>
          <w:lang w:eastAsia="en-GB"/>
          <w14:ligatures w14:val="standardContextual"/>
        </w:rPr>
        <w:t>Physical</w:t>
      </w:r>
      <w:proofErr w:type="spellEnd"/>
      <w:r w:rsidRPr="00677EF2">
        <w:rPr>
          <w:rFonts w:asciiTheme="minorHAnsi" w:eastAsia="Yu Mincho" w:hAnsiTheme="minorHAnsi" w:cs="Arial"/>
          <w:kern w:val="2"/>
          <w:sz w:val="22"/>
          <w:szCs w:val="22"/>
          <w:lang w:eastAsia="en-GB"/>
          <w14:ligatures w14:val="standardContextual"/>
        </w:rPr>
        <w:t xml:space="preserve"> AI ha il potenziale di trasformare il modo in cui le persone si muovono, vivono e interagiscono con la tecnologia. Tuttavia, questa ricerca dimostra che le sole capacità tecnologiche non basteranno a guidare l'adozione: il vero motore sarà la fiducia. La fiducia si costruisce quando la tecnologia è sicura, trasparente e progettata attorno alle reali esigenze umane. L'Europa esprime alcune delle aspettative più elevate al mondo in termini di sicurezza, trasparenza e responsabilità, e questo la rende una delle aree più strategiche per il futuro della AI </w:t>
      </w:r>
      <w:proofErr w:type="spellStart"/>
      <w:r w:rsidRPr="00677EF2">
        <w:rPr>
          <w:rFonts w:asciiTheme="minorHAnsi" w:eastAsia="Yu Mincho" w:hAnsiTheme="minorHAnsi" w:cs="Arial"/>
          <w:kern w:val="2"/>
          <w:sz w:val="22"/>
          <w:szCs w:val="22"/>
          <w:lang w:eastAsia="en-GB"/>
          <w14:ligatures w14:val="standardContextual"/>
        </w:rPr>
        <w:t>mobility</w:t>
      </w:r>
      <w:proofErr w:type="spellEnd"/>
      <w:r w:rsidRPr="00677EF2">
        <w:rPr>
          <w:rFonts w:asciiTheme="minorHAnsi" w:eastAsia="Yu Mincho" w:hAnsiTheme="minorHAnsi" w:cs="Arial"/>
          <w:kern w:val="2"/>
          <w:sz w:val="22"/>
          <w:szCs w:val="22"/>
          <w:lang w:eastAsia="en-GB"/>
          <w14:ligatures w14:val="standardContextual"/>
        </w:rPr>
        <w:t>. Se saremo in grado di conquistare la fiducia in Europa, potremo contribuire a definire un benchmark globale ancora più solido per l'innovazione responsabile</w:t>
      </w:r>
      <w:r>
        <w:rPr>
          <w:rFonts w:asciiTheme="minorHAnsi" w:eastAsia="Yu Mincho" w:hAnsiTheme="minorHAnsi" w:cs="Arial"/>
          <w:kern w:val="2"/>
          <w:sz w:val="22"/>
          <w:szCs w:val="22"/>
          <w:lang w:eastAsia="en-GB"/>
          <w14:ligatures w14:val="standardContextual"/>
        </w:rPr>
        <w:t>”</w:t>
      </w:r>
      <w:r w:rsidRPr="00677EF2">
        <w:rPr>
          <w:rFonts w:asciiTheme="minorHAnsi" w:eastAsia="Yu Mincho" w:hAnsiTheme="minorHAnsi" w:cs="Arial"/>
          <w:kern w:val="2"/>
          <w:sz w:val="22"/>
          <w:szCs w:val="22"/>
          <w:lang w:eastAsia="en-GB"/>
          <w14:ligatures w14:val="standardContextual"/>
        </w:rPr>
        <w:t>.</w:t>
      </w:r>
    </w:p>
    <w:p w14:paraId="5F34E3A4" w14:textId="227B218E" w:rsidR="00625DD5" w:rsidRPr="00625DD5" w:rsidRDefault="00625DD5" w:rsidP="00625DD5">
      <w:pPr>
        <w:spacing w:after="120"/>
        <w:jc w:val="both"/>
        <w:rPr>
          <w:rFonts w:asciiTheme="minorHAnsi" w:eastAsia="Yu Mincho" w:hAnsiTheme="minorHAnsi" w:cs="Arial"/>
          <w:kern w:val="2"/>
          <w:sz w:val="22"/>
          <w:szCs w:val="22"/>
          <w:lang w:eastAsia="en-GB"/>
          <w14:ligatures w14:val="standardContextual"/>
        </w:rPr>
      </w:pPr>
      <w:r w:rsidRPr="00625DD5">
        <w:rPr>
          <w:rFonts w:asciiTheme="minorHAnsi" w:eastAsia="Yu Mincho" w:hAnsiTheme="minorHAnsi" w:cs="Arial"/>
          <w:kern w:val="2"/>
          <w:sz w:val="22"/>
          <w:szCs w:val="22"/>
          <w:lang w:eastAsia="en-GB"/>
          <w14:ligatures w14:val="standardContextual"/>
        </w:rPr>
        <w:lastRenderedPageBreak/>
        <w:t xml:space="preserve">Il percorso verso la mobilità IA in Europa passa attraverso un'architettura della fiducia: un design che mantenga l'uomo </w:t>
      </w:r>
      <w:r w:rsidR="00C56B98">
        <w:rPr>
          <w:rFonts w:asciiTheme="minorHAnsi" w:eastAsia="Yu Mincho" w:hAnsiTheme="minorHAnsi" w:cs="Arial"/>
          <w:kern w:val="2"/>
          <w:sz w:val="22"/>
          <w:szCs w:val="22"/>
          <w:lang w:eastAsia="en-GB"/>
          <w14:ligatures w14:val="standardContextual"/>
        </w:rPr>
        <w:t>alle redini</w:t>
      </w:r>
      <w:r w:rsidRPr="00625DD5">
        <w:rPr>
          <w:rFonts w:asciiTheme="minorHAnsi" w:eastAsia="Yu Mincho" w:hAnsiTheme="minorHAnsi" w:cs="Arial"/>
          <w:kern w:val="2"/>
          <w:sz w:val="22"/>
          <w:szCs w:val="22"/>
          <w:lang w:eastAsia="en-GB"/>
          <w14:ligatures w14:val="standardContextual"/>
        </w:rPr>
        <w:t>, una convalida trasparente della sicurezza e un impatto ESG certificato. Le aziende che soddisferanno gli standard europei non solo sbloccheranno l'adozione locale, ma contribuiranno a definire lo standard globale per un'autonomia responsabile.</w:t>
      </w:r>
    </w:p>
    <w:p w14:paraId="0B0DEA6A" w14:textId="77777777" w:rsidR="00625DD5" w:rsidRPr="00625DD5" w:rsidRDefault="00625DD5" w:rsidP="00625DD5">
      <w:pPr>
        <w:spacing w:after="120"/>
        <w:jc w:val="both"/>
        <w:rPr>
          <w:rFonts w:asciiTheme="minorHAnsi" w:eastAsia="Yu Mincho" w:hAnsiTheme="minorHAnsi" w:cs="Arial"/>
          <w:kern w:val="2"/>
          <w:sz w:val="22"/>
          <w:szCs w:val="22"/>
          <w:lang w:eastAsia="en-GB"/>
          <w14:ligatures w14:val="standardContextual"/>
        </w:rPr>
      </w:pPr>
      <w:r w:rsidRPr="00625DD5">
        <w:rPr>
          <w:rFonts w:asciiTheme="minorHAnsi" w:eastAsia="Yu Mincho" w:hAnsiTheme="minorHAnsi" w:cs="Arial"/>
          <w:kern w:val="2"/>
          <w:sz w:val="22"/>
          <w:szCs w:val="22"/>
          <w:lang w:eastAsia="en-GB"/>
          <w14:ligatures w14:val="standardContextual"/>
        </w:rPr>
        <w:t>Per XPENG, questo si allinea a un più ampio impegno verso un'innovazione responsabile. Nel 2025, XPENG ha ricevuto per il terzo anno consecutivo un rating ESG MSCI pari ad "A", a testimonianza del continuo riconoscimento dei suoi progressi nelle performance ambientali, sociali e di governance. Con l'espansione dell'azienda in Europa, la sua ambizione è operare all'intersezione tra innovazione ed ESG: far progredire la mobilità IA in modi che non siano solo intelligenti e utili, ma anche trasparenti, sostenibili e responsabili.</w:t>
      </w:r>
    </w:p>
    <w:p w14:paraId="2FE6A433" w14:textId="77777777" w:rsidR="00625DD5" w:rsidRPr="00625DD5" w:rsidRDefault="00625DD5" w:rsidP="00625DD5">
      <w:pPr>
        <w:spacing w:after="120"/>
        <w:jc w:val="both"/>
        <w:rPr>
          <w:rFonts w:asciiTheme="minorHAnsi" w:eastAsia="Yu Mincho" w:hAnsiTheme="minorHAnsi" w:cs="Arial"/>
          <w:b/>
          <w:bCs/>
          <w:kern w:val="2"/>
          <w:sz w:val="22"/>
          <w:szCs w:val="22"/>
          <w:lang w:eastAsia="en-GB"/>
          <w14:ligatures w14:val="standardContextual"/>
        </w:rPr>
      </w:pPr>
      <w:r w:rsidRPr="00625DD5">
        <w:rPr>
          <w:rFonts w:asciiTheme="minorHAnsi" w:eastAsia="Yu Mincho" w:hAnsiTheme="minorHAnsi" w:cs="Arial"/>
          <w:b/>
          <w:bCs/>
          <w:kern w:val="2"/>
          <w:sz w:val="22"/>
          <w:szCs w:val="22"/>
          <w:lang w:eastAsia="en-GB"/>
          <w14:ligatures w14:val="standardContextual"/>
        </w:rPr>
        <w:t>Informazioni sullo studio</w:t>
      </w:r>
    </w:p>
    <w:p w14:paraId="3E35FB24" w14:textId="77777777" w:rsidR="00625DD5" w:rsidRPr="00625DD5" w:rsidRDefault="00625DD5" w:rsidP="00625DD5">
      <w:pPr>
        <w:spacing w:after="120"/>
        <w:jc w:val="both"/>
        <w:rPr>
          <w:rFonts w:asciiTheme="minorHAnsi" w:eastAsia="Yu Mincho" w:hAnsiTheme="minorHAnsi" w:cs="Arial"/>
          <w:kern w:val="2"/>
          <w:sz w:val="22"/>
          <w:szCs w:val="22"/>
          <w:lang w:eastAsia="en-GB"/>
          <w14:ligatures w14:val="standardContextual"/>
        </w:rPr>
      </w:pPr>
      <w:r w:rsidRPr="00625DD5">
        <w:rPr>
          <w:rFonts w:asciiTheme="minorHAnsi" w:eastAsia="Yu Mincho" w:hAnsiTheme="minorHAnsi" w:cs="Arial"/>
          <w:kern w:val="2"/>
          <w:sz w:val="22"/>
          <w:szCs w:val="22"/>
          <w:lang w:eastAsia="en-GB"/>
          <w14:ligatures w14:val="standardContextual"/>
        </w:rPr>
        <w:t xml:space="preserve">La ricerca è stata condotta dall'agenzia indipendente </w:t>
      </w:r>
      <w:proofErr w:type="spellStart"/>
      <w:r w:rsidRPr="00625DD5">
        <w:rPr>
          <w:rFonts w:asciiTheme="minorHAnsi" w:eastAsia="Yu Mincho" w:hAnsiTheme="minorHAnsi" w:cs="Arial"/>
          <w:kern w:val="2"/>
          <w:sz w:val="22"/>
          <w:szCs w:val="22"/>
          <w:lang w:eastAsia="en-GB"/>
          <w14:ligatures w14:val="standardContextual"/>
        </w:rPr>
        <w:t>Improof</w:t>
      </w:r>
      <w:proofErr w:type="spellEnd"/>
      <w:r w:rsidRPr="00625DD5">
        <w:rPr>
          <w:rFonts w:asciiTheme="minorHAnsi" w:eastAsia="Yu Mincho" w:hAnsiTheme="minorHAnsi" w:cs="Arial"/>
          <w:kern w:val="2"/>
          <w:sz w:val="22"/>
          <w:szCs w:val="22"/>
          <w:lang w:eastAsia="en-GB"/>
          <w14:ligatures w14:val="standardContextual"/>
        </w:rPr>
        <w:t xml:space="preserve"> </w:t>
      </w:r>
      <w:proofErr w:type="spellStart"/>
      <w:r w:rsidRPr="00625DD5">
        <w:rPr>
          <w:rFonts w:asciiTheme="minorHAnsi" w:eastAsia="Yu Mincho" w:hAnsiTheme="minorHAnsi" w:cs="Arial"/>
          <w:kern w:val="2"/>
          <w:sz w:val="22"/>
          <w:szCs w:val="22"/>
          <w:lang w:eastAsia="en-GB"/>
          <w14:ligatures w14:val="standardContextual"/>
        </w:rPr>
        <w:t>Research</w:t>
      </w:r>
      <w:proofErr w:type="spellEnd"/>
      <w:r w:rsidRPr="00625DD5">
        <w:rPr>
          <w:rFonts w:asciiTheme="minorHAnsi" w:eastAsia="Yu Mincho" w:hAnsiTheme="minorHAnsi" w:cs="Arial"/>
          <w:kern w:val="2"/>
          <w:sz w:val="22"/>
          <w:szCs w:val="22"/>
          <w:lang w:eastAsia="en-GB"/>
          <w14:ligatures w14:val="standardContextual"/>
        </w:rPr>
        <w:t xml:space="preserve"> su campioni di consumatori rappresentativi in Regno Unito, Germania, Francia, Spagna, Svezia e Polonia (n≈800 per Paese; totale Europa N=5.107), con un ulteriore campione di riferimento nelle principali città cinesi (N=1.008). Le attività sul campo (</w:t>
      </w:r>
      <w:proofErr w:type="spellStart"/>
      <w:r w:rsidRPr="00625DD5">
        <w:rPr>
          <w:rFonts w:asciiTheme="minorHAnsi" w:eastAsia="Yu Mincho" w:hAnsiTheme="minorHAnsi" w:cs="Arial"/>
          <w:i/>
          <w:iCs/>
          <w:kern w:val="2"/>
          <w:sz w:val="22"/>
          <w:szCs w:val="22"/>
          <w:lang w:eastAsia="en-GB"/>
          <w14:ligatures w14:val="standardContextual"/>
        </w:rPr>
        <w:t>fieldwork</w:t>
      </w:r>
      <w:proofErr w:type="spellEnd"/>
      <w:r w:rsidRPr="00625DD5">
        <w:rPr>
          <w:rFonts w:asciiTheme="minorHAnsi" w:eastAsia="Yu Mincho" w:hAnsiTheme="minorHAnsi" w:cs="Arial"/>
          <w:kern w:val="2"/>
          <w:sz w:val="22"/>
          <w:szCs w:val="22"/>
          <w:lang w:eastAsia="en-GB"/>
          <w14:ligatures w14:val="standardContextual"/>
        </w:rPr>
        <w:t xml:space="preserve">) sono state completate tra l'1 e il 14 maggio 2026 tramite i panel di accesso </w:t>
      </w:r>
      <w:proofErr w:type="spellStart"/>
      <w:r w:rsidRPr="00625DD5">
        <w:rPr>
          <w:rFonts w:asciiTheme="minorHAnsi" w:eastAsia="Yu Mincho" w:hAnsiTheme="minorHAnsi" w:cs="Arial"/>
          <w:kern w:val="2"/>
          <w:sz w:val="22"/>
          <w:szCs w:val="22"/>
          <w:lang w:eastAsia="en-GB"/>
          <w14:ligatures w14:val="standardContextual"/>
        </w:rPr>
        <w:t>Norstat</w:t>
      </w:r>
      <w:proofErr w:type="spellEnd"/>
      <w:r w:rsidRPr="00625DD5">
        <w:rPr>
          <w:rFonts w:asciiTheme="minorHAnsi" w:eastAsia="Yu Mincho" w:hAnsiTheme="minorHAnsi" w:cs="Arial"/>
          <w:kern w:val="2"/>
          <w:sz w:val="22"/>
          <w:szCs w:val="22"/>
          <w:lang w:eastAsia="en-GB"/>
          <w14:ligatures w14:val="standardContextual"/>
        </w:rPr>
        <w:t xml:space="preserve">. I risultati europei sono ponderati in base alla popolazione dei sei Paesi. Il rapporto valuta la familiarità con l'IA, la fiducia per settore, l'utilizzo e il livello di comfort con la </w:t>
      </w:r>
      <w:proofErr w:type="spellStart"/>
      <w:r w:rsidRPr="00625DD5">
        <w:rPr>
          <w:rFonts w:asciiTheme="minorHAnsi" w:eastAsia="Yu Mincho" w:hAnsiTheme="minorHAnsi" w:cs="Arial"/>
          <w:kern w:val="2"/>
          <w:sz w:val="22"/>
          <w:szCs w:val="22"/>
          <w:lang w:eastAsia="en-GB"/>
          <w14:ligatures w14:val="standardContextual"/>
        </w:rPr>
        <w:t>Physical</w:t>
      </w:r>
      <w:proofErr w:type="spellEnd"/>
      <w:r w:rsidRPr="00625DD5">
        <w:rPr>
          <w:rFonts w:asciiTheme="minorHAnsi" w:eastAsia="Yu Mincho" w:hAnsiTheme="minorHAnsi" w:cs="Arial"/>
          <w:kern w:val="2"/>
          <w:sz w:val="22"/>
          <w:szCs w:val="22"/>
          <w:lang w:eastAsia="en-GB"/>
          <w14:ligatures w14:val="standardContextual"/>
        </w:rPr>
        <w:t xml:space="preserve"> AI, gli atteggiamenti verso la guida autonoma e il ruolo della sostenibilità e della fiducia aziendale.</w:t>
      </w:r>
    </w:p>
    <w:p w14:paraId="743788A9" w14:textId="77777777" w:rsidR="00625DD5" w:rsidRPr="00625DD5" w:rsidRDefault="00625DD5" w:rsidP="00625DD5">
      <w:pPr>
        <w:spacing w:after="120"/>
        <w:jc w:val="both"/>
        <w:rPr>
          <w:rFonts w:asciiTheme="minorHAnsi" w:eastAsia="Yu Mincho" w:hAnsiTheme="minorHAnsi" w:cs="Arial"/>
          <w:kern w:val="2"/>
          <w:sz w:val="22"/>
          <w:szCs w:val="22"/>
          <w:lang w:eastAsia="en-GB"/>
          <w14:ligatures w14:val="standardContextual"/>
        </w:rPr>
      </w:pPr>
    </w:p>
    <w:p w14:paraId="2E1A39E2" w14:textId="422EAD5A" w:rsidR="00A75103" w:rsidRDefault="00B86424" w:rsidP="00C56B98">
      <w:pPr>
        <w:spacing w:after="120"/>
        <w:jc w:val="center"/>
        <w:rPr>
          <w:rFonts w:asciiTheme="minorHAnsi" w:hAnsiTheme="minorHAnsi"/>
          <w:bCs/>
          <w:sz w:val="22"/>
          <w:szCs w:val="22"/>
        </w:rPr>
      </w:pPr>
      <w:r w:rsidRPr="0015473F">
        <w:rPr>
          <w:rFonts w:asciiTheme="minorHAnsi" w:hAnsiTheme="minorHAnsi"/>
          <w:bCs/>
          <w:sz w:val="22"/>
          <w:szCs w:val="22"/>
        </w:rPr>
        <w:t>–</w:t>
      </w:r>
      <w:r w:rsidR="00AD0A11" w:rsidRPr="0015473F">
        <w:rPr>
          <w:rFonts w:asciiTheme="minorHAnsi" w:hAnsiTheme="minorHAnsi"/>
          <w:bCs/>
          <w:sz w:val="22"/>
          <w:szCs w:val="22"/>
        </w:rPr>
        <w:t xml:space="preserve"> FINE –</w:t>
      </w:r>
    </w:p>
    <w:p w14:paraId="13A6EB00" w14:textId="5DB7160A" w:rsidR="001F7EC4" w:rsidRPr="005F27E7" w:rsidRDefault="00B86424" w:rsidP="00B86424">
      <w:pPr>
        <w:rPr>
          <w:rFonts w:asciiTheme="minorHAnsi" w:hAnsiTheme="minorHAnsi"/>
          <w:b/>
          <w:sz w:val="20"/>
          <w:szCs w:val="20"/>
        </w:rPr>
      </w:pPr>
      <w:r w:rsidRPr="005F27E7">
        <w:rPr>
          <w:rFonts w:asciiTheme="minorHAnsi" w:hAnsiTheme="minorHAnsi"/>
          <w:b/>
          <w:sz w:val="20"/>
          <w:szCs w:val="20"/>
        </w:rPr>
        <w:t>Note per i redattori</w:t>
      </w:r>
    </w:p>
    <w:p w14:paraId="002D2928" w14:textId="31FD6001" w:rsidR="00A75103" w:rsidRPr="0015473F" w:rsidRDefault="00AD0A11">
      <w:pPr>
        <w:spacing w:line="259" w:lineRule="auto"/>
        <w:rPr>
          <w:rFonts w:asciiTheme="minorHAnsi" w:hAnsiTheme="minorHAnsi"/>
          <w:b/>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XPENG</w:t>
      </w:r>
    </w:p>
    <w:p w14:paraId="444ABABE" w14:textId="14329E20" w:rsidR="00A75103" w:rsidRPr="0015473F" w:rsidRDefault="00AD0A11" w:rsidP="00624EC1">
      <w:pPr>
        <w:jc w:val="both"/>
        <w:rPr>
          <w:rFonts w:asciiTheme="minorHAnsi" w:hAnsiTheme="minorHAnsi"/>
          <w:sz w:val="20"/>
          <w:szCs w:val="20"/>
        </w:rPr>
      </w:pPr>
      <w:r w:rsidRPr="0015473F">
        <w:rPr>
          <w:rFonts w:asciiTheme="minorHAnsi" w:hAnsiTheme="minorHAnsi"/>
          <w:sz w:val="20"/>
          <w:szCs w:val="20"/>
        </w:rPr>
        <w:t xml:space="preserve">Fondata nel 2014, </w:t>
      </w:r>
      <w:r w:rsidR="006824D3">
        <w:rPr>
          <w:rFonts w:asciiTheme="minorHAnsi" w:hAnsiTheme="minorHAnsi"/>
          <w:sz w:val="20"/>
          <w:szCs w:val="20"/>
        </w:rPr>
        <w:t>XPENG</w:t>
      </w:r>
      <w:r w:rsidRPr="0015473F">
        <w:rPr>
          <w:rFonts w:asciiTheme="minorHAnsi" w:hAnsiTheme="minorHAnsi"/>
          <w:sz w:val="20"/>
          <w:szCs w:val="20"/>
        </w:rPr>
        <w:t xml:space="preserve"> è un'azienda cinese leader nella mobilità guidata dall'IA che progetta, sviluppa, produce e commercializza veicoli elettrici intelligenti, rivolgendosi a una base crescente di consumatori esperti di tecnologia. Con il rapido progresso dell'IA, </w:t>
      </w:r>
      <w:r w:rsidR="006824D3">
        <w:rPr>
          <w:rFonts w:asciiTheme="minorHAnsi" w:hAnsiTheme="minorHAnsi"/>
          <w:sz w:val="20"/>
          <w:szCs w:val="20"/>
        </w:rPr>
        <w:t>XPENG</w:t>
      </w:r>
      <w:r w:rsidRPr="0015473F">
        <w:rPr>
          <w:rFonts w:asciiTheme="minorHAnsi" w:hAnsiTheme="minorHAnsi"/>
          <w:sz w:val="20"/>
          <w:szCs w:val="20"/>
        </w:rPr>
        <w:t xml:space="preserve"> aspira a diventare un leader globale nella mobilità IA, con la missione di guidare la rivoluzione dei veicoli elettrici intelligenti attraverso tecnologia all'avanguardia, plasmando il futuro della mobilità. Per migliorare l'esperienza del cliente, </w:t>
      </w:r>
      <w:r w:rsidR="006824D3">
        <w:rPr>
          <w:rFonts w:asciiTheme="minorHAnsi" w:hAnsiTheme="minorHAnsi"/>
          <w:sz w:val="20"/>
          <w:szCs w:val="20"/>
        </w:rPr>
        <w:t>XPENG</w:t>
      </w:r>
      <w:r w:rsidRPr="0015473F">
        <w:rPr>
          <w:rFonts w:asciiTheme="minorHAnsi" w:hAnsiTheme="minorHAnsi"/>
          <w:sz w:val="20"/>
          <w:szCs w:val="20"/>
        </w:rPr>
        <w:t xml:space="preserve"> sviluppa internamente la sua tecnologia avanzata di assistenza alla guida (ADAS) e il sistema operativo intelligente in-car, insieme ai sistemi fondamentali del veicolo come il gruppo propulsore e l'architettura elettrica/elettronica (EEA). Con sede a Guangzhou, Cina, </w:t>
      </w:r>
      <w:r w:rsidR="006824D3">
        <w:rPr>
          <w:rFonts w:asciiTheme="minorHAnsi" w:hAnsiTheme="minorHAnsi"/>
          <w:sz w:val="20"/>
          <w:szCs w:val="20"/>
        </w:rPr>
        <w:t>XPENG</w:t>
      </w:r>
      <w:r w:rsidRPr="0015473F">
        <w:rPr>
          <w:rFonts w:asciiTheme="minorHAnsi" w:hAnsiTheme="minorHAnsi"/>
          <w:sz w:val="20"/>
          <w:szCs w:val="20"/>
        </w:rPr>
        <w:t xml:space="preserve"> opera anche in uffici chiave a Pechino, Shanghai, Silicon Valley e Amsterdam. I suoi veicoli elettrici intelligenti sono principalmente prodotti nei suoi stabilimenti di </w:t>
      </w:r>
      <w:proofErr w:type="spellStart"/>
      <w:r w:rsidRPr="0015473F">
        <w:rPr>
          <w:rFonts w:asciiTheme="minorHAnsi" w:hAnsiTheme="minorHAnsi"/>
          <w:sz w:val="20"/>
          <w:szCs w:val="20"/>
        </w:rPr>
        <w:t>Zhaoqing</w:t>
      </w:r>
      <w:proofErr w:type="spellEnd"/>
      <w:r w:rsidRPr="0015473F">
        <w:rPr>
          <w:rFonts w:asciiTheme="minorHAnsi" w:hAnsiTheme="minorHAnsi"/>
          <w:sz w:val="20"/>
          <w:szCs w:val="20"/>
        </w:rPr>
        <w:t xml:space="preserve"> e Guangzhou, nella provincia di Guangdong. </w:t>
      </w:r>
      <w:r w:rsidR="006824D3">
        <w:rPr>
          <w:rFonts w:asciiTheme="minorHAnsi" w:hAnsiTheme="minorHAnsi"/>
          <w:sz w:val="20"/>
          <w:szCs w:val="20"/>
        </w:rPr>
        <w:t>XPENG</w:t>
      </w:r>
      <w:r w:rsidRPr="0015473F">
        <w:rPr>
          <w:rFonts w:asciiTheme="minorHAnsi" w:hAnsiTheme="minorHAnsi"/>
          <w:sz w:val="20"/>
          <w:szCs w:val="20"/>
        </w:rPr>
        <w:t xml:space="preserve"> è quotata alla Borsa di New York (NYSE: XPEV) e alla Borsa di Hong Kong (HKEX: 9868). </w:t>
      </w:r>
    </w:p>
    <w:p w14:paraId="01EAE1CB" w14:textId="17782416" w:rsidR="00A75103" w:rsidRPr="0015473F" w:rsidRDefault="00AD0A11">
      <w:pPr>
        <w:spacing w:line="259" w:lineRule="auto"/>
        <w:rPr>
          <w:rFonts w:asciiTheme="minorHAnsi" w:hAnsiTheme="minorHAnsi"/>
          <w:sz w:val="20"/>
          <w:szCs w:val="20"/>
        </w:rPr>
      </w:pPr>
      <w:r w:rsidRPr="0015473F">
        <w:rPr>
          <w:rFonts w:asciiTheme="minorHAnsi" w:hAnsiTheme="minorHAnsi"/>
          <w:sz w:val="20"/>
          <w:szCs w:val="20"/>
        </w:rPr>
        <w:t xml:space="preserve">Per ulteriori informazioni, visita </w:t>
      </w:r>
      <w:hyperlink r:id="rId12">
        <w:r w:rsidR="006824D3">
          <w:rPr>
            <w:rFonts w:asciiTheme="minorHAnsi" w:hAnsiTheme="minorHAnsi"/>
            <w:color w:val="467886"/>
            <w:sz w:val="20"/>
            <w:szCs w:val="20"/>
            <w:u w:val="single"/>
          </w:rPr>
          <w:t>XPENG</w:t>
        </w:r>
        <w:r w:rsidR="00A75103" w:rsidRPr="0015473F">
          <w:rPr>
            <w:rFonts w:asciiTheme="minorHAnsi" w:hAnsiTheme="minorHAnsi"/>
            <w:color w:val="467886"/>
            <w:sz w:val="20"/>
            <w:szCs w:val="20"/>
            <w:u w:val="single"/>
          </w:rPr>
          <w:t>.com</w:t>
        </w:r>
      </w:hyperlink>
      <w:r w:rsidR="00A143F7">
        <w:t>.</w:t>
      </w:r>
    </w:p>
    <w:p w14:paraId="2AE4E943" w14:textId="69354B32" w:rsidR="00A75103" w:rsidRPr="0015473F" w:rsidRDefault="00AD0A11">
      <w:pPr>
        <w:spacing w:line="259" w:lineRule="auto"/>
        <w:rPr>
          <w:rFonts w:asciiTheme="minorHAnsi" w:hAnsiTheme="minorHAnsi"/>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ATFLOW</w:t>
      </w:r>
    </w:p>
    <w:p w14:paraId="2AD571E1" w14:textId="365CA551" w:rsidR="00A75103" w:rsidRDefault="006824D3">
      <w:pPr>
        <w:spacing w:line="259" w:lineRule="auto"/>
        <w:jc w:val="both"/>
        <w:rPr>
          <w:rFonts w:asciiTheme="minorHAnsi" w:hAnsiTheme="minorHAnsi"/>
          <w:sz w:val="20"/>
          <w:szCs w:val="20"/>
        </w:rPr>
      </w:pPr>
      <w:proofErr w:type="spellStart"/>
      <w:r>
        <w:rPr>
          <w:rFonts w:asciiTheme="minorHAnsi" w:hAnsiTheme="minorHAnsi"/>
          <w:sz w:val="20"/>
          <w:szCs w:val="20"/>
        </w:rPr>
        <w:t>ATFlow</w:t>
      </w:r>
      <w:proofErr w:type="spellEnd"/>
      <w:r>
        <w:rPr>
          <w:rFonts w:asciiTheme="minorHAnsi" w:hAnsiTheme="minorHAnsi"/>
          <w:sz w:val="20"/>
          <w:szCs w:val="20"/>
        </w:rPr>
        <w:t xml:space="preserve"> </w:t>
      </w:r>
      <w:r w:rsidR="00AD0A11" w:rsidRPr="0015473F">
        <w:rPr>
          <w:rFonts w:asciiTheme="minorHAnsi" w:hAnsiTheme="minorHAnsi"/>
          <w:sz w:val="20"/>
          <w:szCs w:val="20"/>
        </w:rPr>
        <w:t xml:space="preserve">è una società italiana specializzata nell'importazione e distribuzione di </w:t>
      </w:r>
      <w:proofErr w:type="gramStart"/>
      <w:r w:rsidR="00AD0A11" w:rsidRPr="0015473F">
        <w:rPr>
          <w:rFonts w:asciiTheme="minorHAnsi" w:hAnsiTheme="minorHAnsi"/>
          <w:sz w:val="20"/>
          <w:szCs w:val="20"/>
        </w:rPr>
        <w:t>brand</w:t>
      </w:r>
      <w:proofErr w:type="gramEnd"/>
      <w:r w:rsidR="00AD0A11" w:rsidRPr="0015473F">
        <w:rPr>
          <w:rFonts w:asciiTheme="minorHAnsi" w:hAnsiTheme="minorHAnsi"/>
          <w:sz w:val="20"/>
          <w:szCs w:val="20"/>
        </w:rPr>
        <w:t xml:space="preserve"> automobilistici all'avanguardia, con un focus sulla mobilità sostenibile e ad alto contenuto tecnologico. </w:t>
      </w:r>
      <w:r>
        <w:rPr>
          <w:rFonts w:asciiTheme="minorHAnsi" w:hAnsiTheme="minorHAnsi"/>
          <w:sz w:val="20"/>
          <w:szCs w:val="20"/>
        </w:rPr>
        <w:t>ATFLOW</w:t>
      </w:r>
      <w:r w:rsidR="00AD0A11" w:rsidRPr="0015473F">
        <w:rPr>
          <w:rFonts w:asciiTheme="minorHAnsi" w:hAnsiTheme="minorHAnsi"/>
          <w:sz w:val="20"/>
          <w:szCs w:val="20"/>
        </w:rPr>
        <w:t xml:space="preserve">, importatore e distributore in esclusiva per il mercato italiano del marchio </w:t>
      </w:r>
      <w:r>
        <w:rPr>
          <w:rFonts w:asciiTheme="minorHAnsi" w:hAnsiTheme="minorHAnsi"/>
          <w:sz w:val="20"/>
          <w:szCs w:val="20"/>
        </w:rPr>
        <w:t>XPENG</w:t>
      </w:r>
      <w:r w:rsidR="00AD0A11" w:rsidRPr="0015473F">
        <w:rPr>
          <w:rFonts w:asciiTheme="minorHAnsi" w:hAnsiTheme="minorHAnsi"/>
          <w:sz w:val="20"/>
          <w:szCs w:val="20"/>
        </w:rPr>
        <w:t xml:space="preserve">, si distingue nel </w:t>
      </w:r>
      <w:r w:rsidR="00AD0A11" w:rsidRPr="0015473F">
        <w:rPr>
          <w:rFonts w:asciiTheme="minorHAnsi" w:hAnsiTheme="minorHAnsi"/>
          <w:sz w:val="20"/>
          <w:szCs w:val="20"/>
        </w:rPr>
        <w:lastRenderedPageBreak/>
        <w:t xml:space="preserve">panorama nazionale per la sua capacità di integrare competenza tecnica consolidata e soluzioni innovative, grazie a una profonda conoscenza del mercato automobilistico e delle sue evoluzioni. </w:t>
      </w:r>
    </w:p>
    <w:p w14:paraId="3DE824CB" w14:textId="3544A037" w:rsidR="00A143F7" w:rsidRPr="0015473F" w:rsidRDefault="00A143F7">
      <w:pPr>
        <w:spacing w:line="259" w:lineRule="auto"/>
        <w:jc w:val="both"/>
        <w:rPr>
          <w:rFonts w:asciiTheme="minorHAnsi" w:hAnsiTheme="minorHAnsi"/>
          <w:sz w:val="20"/>
          <w:szCs w:val="20"/>
        </w:rPr>
      </w:pPr>
      <w:r>
        <w:rPr>
          <w:rFonts w:asciiTheme="minorHAnsi" w:hAnsiTheme="minorHAnsi"/>
          <w:sz w:val="20"/>
          <w:szCs w:val="20"/>
        </w:rPr>
        <w:t xml:space="preserve">Per ulteriori informazioni: </w:t>
      </w:r>
      <w:hyperlink r:id="rId13" w:history="1">
        <w:r w:rsidRPr="00A143F7">
          <w:rPr>
            <w:rStyle w:val="Collegamentoipertestuale"/>
            <w:rFonts w:asciiTheme="minorHAnsi" w:hAnsiTheme="minorHAnsi"/>
            <w:sz w:val="20"/>
            <w:szCs w:val="20"/>
          </w:rPr>
          <w:t>atflow.it</w:t>
        </w:r>
      </w:hyperlink>
      <w:r>
        <w:rPr>
          <w:rFonts w:asciiTheme="minorHAnsi" w:hAnsiTheme="minorHAnsi"/>
          <w:sz w:val="20"/>
          <w:szCs w:val="20"/>
        </w:rPr>
        <w:t xml:space="preserve"> | </w:t>
      </w:r>
      <w:hyperlink r:id="rId14" w:history="1">
        <w:r w:rsidRPr="00A143F7">
          <w:rPr>
            <w:rStyle w:val="Collegamentoipertestuale"/>
            <w:rFonts w:asciiTheme="minorHAnsi" w:hAnsiTheme="minorHAnsi"/>
            <w:sz w:val="20"/>
            <w:szCs w:val="20"/>
          </w:rPr>
          <w:t>xpengitalia.it</w:t>
        </w:r>
      </w:hyperlink>
      <w:r>
        <w:rPr>
          <w:rFonts w:asciiTheme="minorHAnsi" w:hAnsiTheme="minorHAnsi"/>
          <w:sz w:val="20"/>
          <w:szCs w:val="20"/>
        </w:rPr>
        <w:t>.</w:t>
      </w:r>
    </w:p>
    <w:p w14:paraId="4E657519" w14:textId="77777777" w:rsidR="00A143F7" w:rsidRDefault="00A143F7" w:rsidP="00B86424">
      <w:pPr>
        <w:jc w:val="both"/>
        <w:rPr>
          <w:rFonts w:asciiTheme="minorHAnsi" w:hAnsiTheme="minorHAnsi"/>
          <w:b/>
          <w:bCs/>
          <w:sz w:val="18"/>
          <w:szCs w:val="18"/>
        </w:rPr>
      </w:pPr>
    </w:p>
    <w:p w14:paraId="1738422C" w14:textId="770D2586" w:rsidR="00B86424" w:rsidRPr="0015473F" w:rsidRDefault="00B86424" w:rsidP="00B86424">
      <w:pPr>
        <w:jc w:val="both"/>
        <w:rPr>
          <w:rFonts w:asciiTheme="minorHAnsi" w:hAnsiTheme="minorHAnsi"/>
          <w:sz w:val="18"/>
          <w:szCs w:val="18"/>
        </w:rPr>
      </w:pPr>
      <w:r w:rsidRPr="0015473F">
        <w:rPr>
          <w:rFonts w:asciiTheme="minorHAnsi" w:hAnsiTheme="minorHAnsi"/>
          <w:b/>
          <w:bCs/>
          <w:sz w:val="18"/>
          <w:szCs w:val="18"/>
        </w:rPr>
        <w:t>Contatti Media</w:t>
      </w:r>
    </w:p>
    <w:p w14:paraId="3622163B" w14:textId="77777777" w:rsidR="00B86424" w:rsidRPr="0015473F" w:rsidRDefault="00B86424" w:rsidP="00B86424">
      <w:pPr>
        <w:spacing w:line="240" w:lineRule="auto"/>
        <w:rPr>
          <w:rFonts w:asciiTheme="minorHAnsi" w:hAnsiTheme="minorHAnsi"/>
          <w:sz w:val="18"/>
          <w:szCs w:val="18"/>
        </w:rPr>
        <w:sectPr w:rsidR="00B86424" w:rsidRPr="0015473F" w:rsidSect="00991CCF">
          <w:headerReference w:type="default" r:id="rId15"/>
          <w:footerReference w:type="even" r:id="rId16"/>
          <w:footerReference w:type="default" r:id="rId17"/>
          <w:pgSz w:w="11906" w:h="16838"/>
          <w:pgMar w:top="1985" w:right="1440" w:bottom="1440" w:left="1440" w:header="720" w:footer="720" w:gutter="0"/>
          <w:pgNumType w:start="1"/>
          <w:cols w:space="720"/>
        </w:sectPr>
      </w:pPr>
    </w:p>
    <w:p w14:paraId="644F5FFC" w14:textId="61FFE146" w:rsidR="00B86424" w:rsidRPr="00430B79" w:rsidRDefault="00B86424" w:rsidP="00B86424">
      <w:pPr>
        <w:spacing w:line="240" w:lineRule="auto"/>
        <w:rPr>
          <w:rFonts w:asciiTheme="minorHAnsi" w:hAnsiTheme="minorHAnsi"/>
          <w:sz w:val="18"/>
          <w:szCs w:val="18"/>
          <w:lang w:val="en-US"/>
        </w:rPr>
      </w:pPr>
      <w:r w:rsidRPr="0015473F">
        <w:rPr>
          <w:rFonts w:asciiTheme="minorHAnsi" w:hAnsiTheme="minorHAnsi"/>
          <w:sz w:val="18"/>
          <w:szCs w:val="18"/>
        </w:rPr>
        <w:t>Anice s.r.l.</w:t>
      </w:r>
      <w:r w:rsidRPr="0015473F">
        <w:rPr>
          <w:rFonts w:asciiTheme="minorHAnsi" w:hAnsiTheme="minorHAnsi"/>
          <w:sz w:val="18"/>
          <w:szCs w:val="18"/>
        </w:rPr>
        <w:br/>
        <w:t>Via Torre Pellice 17 – 10156 Torino</w:t>
      </w:r>
      <w:r w:rsidRPr="0015473F">
        <w:rPr>
          <w:rFonts w:asciiTheme="minorHAnsi" w:hAnsiTheme="minorHAnsi"/>
          <w:sz w:val="18"/>
          <w:szCs w:val="18"/>
        </w:rPr>
        <w:br/>
        <w:t xml:space="preserve">Tel. </w:t>
      </w:r>
      <w:r w:rsidRPr="00430B79">
        <w:rPr>
          <w:rFonts w:asciiTheme="minorHAnsi" w:hAnsiTheme="minorHAnsi"/>
          <w:sz w:val="18"/>
          <w:szCs w:val="18"/>
          <w:lang w:val="en-US"/>
        </w:rPr>
        <w:t>+39 011 0161111</w:t>
      </w:r>
      <w:r w:rsidRPr="00430B79">
        <w:rPr>
          <w:rFonts w:asciiTheme="minorHAnsi" w:hAnsiTheme="minorHAnsi"/>
          <w:sz w:val="18"/>
          <w:szCs w:val="18"/>
          <w:lang w:val="en-US"/>
        </w:rPr>
        <w:br/>
      </w:r>
      <w:hyperlink r:id="rId18" w:history="1">
        <w:r w:rsidR="006824D3" w:rsidRPr="00430B79">
          <w:rPr>
            <w:rStyle w:val="Collegamentoipertestuale"/>
            <w:rFonts w:asciiTheme="minorHAnsi" w:hAnsiTheme="minorHAnsi"/>
            <w:sz w:val="18"/>
            <w:szCs w:val="18"/>
            <w:lang w:val="en-US"/>
          </w:rPr>
          <w:t>XPENG</w:t>
        </w:r>
        <w:r w:rsidRPr="00430B79">
          <w:rPr>
            <w:rStyle w:val="Collegamentoipertestuale"/>
            <w:rFonts w:asciiTheme="minorHAnsi" w:hAnsiTheme="minorHAnsi"/>
            <w:sz w:val="18"/>
            <w:szCs w:val="18"/>
            <w:lang w:val="en-US"/>
          </w:rPr>
          <w:t>@anicecommunication.com</w:t>
        </w:r>
      </w:hyperlink>
      <w:r w:rsidR="00430B79" w:rsidRPr="00430B79">
        <w:rPr>
          <w:lang w:val="en-US"/>
        </w:rPr>
        <w:br/>
      </w:r>
      <w:hyperlink r:id="rId19" w:history="1">
        <w:r w:rsidR="00430B79" w:rsidRPr="00430B79">
          <w:rPr>
            <w:rStyle w:val="Collegamentoipertestuale"/>
            <w:rFonts w:asciiTheme="minorHAnsi" w:hAnsiTheme="minorHAnsi"/>
            <w:sz w:val="18"/>
            <w:szCs w:val="18"/>
            <w:lang w:val="en-US"/>
          </w:rPr>
          <w:t>Press room X</w:t>
        </w:r>
        <w:r w:rsidR="00430B79">
          <w:rPr>
            <w:rStyle w:val="Collegamentoipertestuale"/>
            <w:rFonts w:asciiTheme="minorHAnsi" w:hAnsiTheme="minorHAnsi"/>
            <w:sz w:val="18"/>
            <w:szCs w:val="18"/>
            <w:lang w:val="en-US"/>
          </w:rPr>
          <w:t>PENG</w:t>
        </w:r>
        <w:r w:rsidR="00430B79" w:rsidRPr="00430B79">
          <w:rPr>
            <w:rStyle w:val="Collegamentoipertestuale"/>
            <w:rFonts w:asciiTheme="minorHAnsi" w:hAnsiTheme="minorHAnsi"/>
            <w:sz w:val="18"/>
            <w:szCs w:val="18"/>
            <w:lang w:val="en-US"/>
          </w:rPr>
          <w:t xml:space="preserve"> Italia &gt;</w:t>
        </w:r>
      </w:hyperlink>
    </w:p>
    <w:p w14:paraId="542223C2"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Roberto Beltramolli | +39 335 6068559</w:t>
      </w:r>
      <w:r w:rsidRPr="0015473F">
        <w:rPr>
          <w:rFonts w:asciiTheme="minorHAnsi" w:hAnsiTheme="minorHAnsi"/>
          <w:sz w:val="18"/>
          <w:szCs w:val="18"/>
        </w:rPr>
        <w:br/>
      </w:r>
      <w:hyperlink r:id="rId20" w:history="1">
        <w:r w:rsidRPr="0015473F">
          <w:rPr>
            <w:rStyle w:val="Collegamentoipertestuale"/>
            <w:rFonts w:asciiTheme="minorHAnsi" w:hAnsiTheme="minorHAnsi"/>
            <w:sz w:val="18"/>
            <w:szCs w:val="18"/>
          </w:rPr>
          <w:t>roberto.beltramolli@anicecommunication.com</w:t>
        </w:r>
      </w:hyperlink>
    </w:p>
    <w:p w14:paraId="3CC2A1D1"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Paola Maina | +39 347 6713167</w:t>
      </w:r>
      <w:r w:rsidRPr="0015473F">
        <w:rPr>
          <w:rFonts w:asciiTheme="minorHAnsi" w:hAnsiTheme="minorHAnsi"/>
          <w:sz w:val="18"/>
          <w:szCs w:val="18"/>
        </w:rPr>
        <w:br/>
      </w:r>
      <w:hyperlink r:id="rId21" w:history="1">
        <w:r w:rsidRPr="0015473F">
          <w:rPr>
            <w:rStyle w:val="Collegamentoipertestuale"/>
            <w:rFonts w:asciiTheme="minorHAnsi" w:hAnsiTheme="minorHAnsi"/>
            <w:sz w:val="18"/>
            <w:szCs w:val="18"/>
          </w:rPr>
          <w:t>paola.maina@anicecommunication.com</w:t>
        </w:r>
      </w:hyperlink>
    </w:p>
    <w:p w14:paraId="54BB9845" w14:textId="77777777" w:rsidR="00B86424" w:rsidRPr="0015473F" w:rsidRDefault="00B86424" w:rsidP="00C56B98">
      <w:pPr>
        <w:rPr>
          <w:rFonts w:asciiTheme="minorHAnsi" w:hAnsiTheme="minorHAnsi"/>
          <w:b/>
          <w:sz w:val="22"/>
          <w:szCs w:val="22"/>
        </w:rPr>
        <w:sectPr w:rsidR="00B86424" w:rsidRPr="0015473F" w:rsidSect="00B86424">
          <w:type w:val="continuous"/>
          <w:pgSz w:w="11906" w:h="16838"/>
          <w:pgMar w:top="1985" w:right="1440" w:bottom="1440" w:left="1440" w:header="720" w:footer="720" w:gutter="0"/>
          <w:pgNumType w:start="1"/>
          <w:cols w:num="2" w:space="720"/>
        </w:sectPr>
      </w:pPr>
    </w:p>
    <w:p w14:paraId="68FE0C4A" w14:textId="3C27B3FB" w:rsidR="00A75103" w:rsidRPr="0015473F" w:rsidRDefault="00A75103" w:rsidP="00B86424">
      <w:pPr>
        <w:spacing w:after="120" w:line="240" w:lineRule="auto"/>
        <w:rPr>
          <w:rFonts w:asciiTheme="minorHAnsi" w:hAnsiTheme="minorHAnsi"/>
          <w:b/>
          <w:sz w:val="20"/>
          <w:szCs w:val="20"/>
        </w:rPr>
      </w:pPr>
    </w:p>
    <w:sectPr w:rsidR="00A75103" w:rsidRPr="0015473F" w:rsidSect="00B86424">
      <w:type w:val="continuous"/>
      <w:pgSz w:w="11906" w:h="16838"/>
      <w:pgMar w:top="1985"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C7F40D" w14:textId="77777777" w:rsidR="00FF5385" w:rsidRDefault="00FF5385">
      <w:pPr>
        <w:spacing w:after="0" w:line="240" w:lineRule="auto"/>
      </w:pPr>
      <w:r>
        <w:separator/>
      </w:r>
    </w:p>
  </w:endnote>
  <w:endnote w:type="continuationSeparator" w:id="0">
    <w:p w14:paraId="2706C950" w14:textId="77777777" w:rsidR="00FF5385" w:rsidRDefault="00FF53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variable"/>
    <w:sig w:usb0="00000003" w:usb1="0200E4B4" w:usb2="00000000" w:usb3="00000000" w:csb0="00000001" w:csb1="00000000"/>
    <w:embedRegular r:id="rId1" w:fontKey="{EE880A88-3A5E-498F-9CD0-7958CFFDA320}"/>
  </w:font>
  <w:font w:name="Aptos">
    <w:charset w:val="00"/>
    <w:family w:val="swiss"/>
    <w:pitch w:val="variable"/>
    <w:sig w:usb0="20000287" w:usb1="00000003" w:usb2="00000000" w:usb3="00000000" w:csb0="0000019F" w:csb1="00000000"/>
    <w:embedRegular r:id="rId2" w:fontKey="{B262F292-D6B8-4145-B76F-0F41387F6DAB}"/>
    <w:embedBold r:id="rId3" w:fontKey="{D91FE147-D839-460E-9348-5B3412266BE1}"/>
    <w:embedItalic r:id="rId4" w:fontKey="{CABAADA1-AF84-479C-88D1-943F3453C8C2}"/>
    <w:embedBoldItalic r:id="rId5" w:fontKey="{EA569918-19A5-482F-A843-578F28146DD2}"/>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6" w:fontKey="{54A2E92C-482B-4764-B646-159D73F255D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embedRegular r:id="rId7" w:fontKey="{C366A134-2416-4E9C-B7E3-A50AA5174677}"/>
  </w:font>
  <w:font w:name="Calibri">
    <w:panose1 w:val="020F0502020204030204"/>
    <w:charset w:val="00"/>
    <w:family w:val="swiss"/>
    <w:pitch w:val="variable"/>
    <w:sig w:usb0="E4002EFF" w:usb1="C200247B" w:usb2="00000009" w:usb3="00000000" w:csb0="000001FF" w:csb1="00000000"/>
    <w:embedRegular r:id="rId8" w:fontKey="{517F0A0D-50B9-46CB-87A2-1FB1C4DA5348}"/>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D5785"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135D50"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ABD0"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551606">
      <w:rPr>
        <w:noProof/>
        <w:color w:val="000000"/>
        <w:sz w:val="18"/>
        <w:szCs w:val="18"/>
      </w:rPr>
      <w:t>1</w:t>
    </w:r>
    <w:r>
      <w:rPr>
        <w:color w:val="000000"/>
        <w:sz w:val="18"/>
        <w:szCs w:val="18"/>
      </w:rPr>
      <w:fldChar w:fldCharType="end"/>
    </w:r>
  </w:p>
  <w:p w14:paraId="4ABCFB91"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DE824" w14:textId="77777777" w:rsidR="00FF5385" w:rsidRDefault="00FF5385">
      <w:pPr>
        <w:spacing w:after="0" w:line="240" w:lineRule="auto"/>
      </w:pPr>
      <w:r>
        <w:separator/>
      </w:r>
    </w:p>
  </w:footnote>
  <w:footnote w:type="continuationSeparator" w:id="0">
    <w:p w14:paraId="3C1E0E1F" w14:textId="77777777" w:rsidR="00FF5385" w:rsidRDefault="00FF53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D201"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noProof/>
        <w:color w:val="000000"/>
      </w:rPr>
      <w:drawing>
        <wp:inline distT="0" distB="0" distL="0" distR="0" wp14:anchorId="5FBDAB1A" wp14:editId="0A59F7B0">
          <wp:extent cx="2471431" cy="319266"/>
          <wp:effectExtent l="0" t="0" r="0" b="0"/>
          <wp:docPr id="1332414434" name="image1.png" descr="Uno sfondo nero con un quadrato nero&#10;&#10;Descrizione generata automaticamente con confidenza media"/>
          <wp:cNvGraphicFramePr/>
          <a:graphic xmlns:a="http://schemas.openxmlformats.org/drawingml/2006/main">
            <a:graphicData uri="http://schemas.openxmlformats.org/drawingml/2006/picture">
              <pic:pic xmlns:pic="http://schemas.openxmlformats.org/drawingml/2006/picture">
                <pic:nvPicPr>
                  <pic:cNvPr id="0" name="image1.png" descr="Uno sfondo nero con un quadrato nero&#10;&#10;Descrizione generata automaticamente con confidenza media"/>
                  <pic:cNvPicPr preferRelativeResize="0"/>
                </pic:nvPicPr>
                <pic:blipFill>
                  <a:blip r:embed="rId1"/>
                  <a:srcRect/>
                  <a:stretch>
                    <a:fillRect/>
                  </a:stretch>
                </pic:blipFill>
                <pic:spPr>
                  <a:xfrm>
                    <a:off x="0" y="0"/>
                    <a:ext cx="2471431" cy="319266"/>
                  </a:xfrm>
                  <a:prstGeom prst="rect">
                    <a:avLst/>
                  </a:prstGeom>
                  <a:ln/>
                </pic:spPr>
              </pic:pic>
            </a:graphicData>
          </a:graphic>
        </wp:inline>
      </w:drawing>
    </w:r>
  </w:p>
  <w:p w14:paraId="33154795"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p w14:paraId="5267E317"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81552"/>
    <w:multiLevelType w:val="multilevel"/>
    <w:tmpl w:val="60F27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CE34FE"/>
    <w:multiLevelType w:val="multilevel"/>
    <w:tmpl w:val="3F8C4F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002573B"/>
    <w:multiLevelType w:val="hybridMultilevel"/>
    <w:tmpl w:val="63B201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576095A"/>
    <w:multiLevelType w:val="hybridMultilevel"/>
    <w:tmpl w:val="E578B6D0"/>
    <w:lvl w:ilvl="0" w:tplc="B19ADADC">
      <w:numFmt w:val="bullet"/>
      <w:lvlText w:val="•"/>
      <w:lvlJc w:val="left"/>
      <w:pPr>
        <w:ind w:left="720" w:hanging="360"/>
      </w:pPr>
      <w:rPr>
        <w:rFonts w:ascii="Aptos" w:eastAsia="Yu Mincho" w:hAnsi="Aptos"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83438C8"/>
    <w:multiLevelType w:val="multilevel"/>
    <w:tmpl w:val="27986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8AC43F9"/>
    <w:multiLevelType w:val="multilevel"/>
    <w:tmpl w:val="E99A4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1A9F6FF6"/>
    <w:multiLevelType w:val="multilevel"/>
    <w:tmpl w:val="13E808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D057ED5"/>
    <w:multiLevelType w:val="hybridMultilevel"/>
    <w:tmpl w:val="F020ACC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8" w15:restartNumberingAfterBreak="0">
    <w:nsid w:val="1E1F3EA3"/>
    <w:multiLevelType w:val="hybridMultilevel"/>
    <w:tmpl w:val="4544D1D6"/>
    <w:lvl w:ilvl="0" w:tplc="04100003">
      <w:start w:val="1"/>
      <w:numFmt w:val="bullet"/>
      <w:lvlText w:val="o"/>
      <w:lvlJc w:val="left"/>
      <w:pPr>
        <w:ind w:left="2160" w:hanging="360"/>
      </w:pPr>
      <w:rPr>
        <w:rFonts w:ascii="Courier New" w:hAnsi="Courier New" w:cs="Courier New"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9" w15:restartNumberingAfterBreak="0">
    <w:nsid w:val="1EC10B74"/>
    <w:multiLevelType w:val="hybridMultilevel"/>
    <w:tmpl w:val="C2720ABC"/>
    <w:lvl w:ilvl="0" w:tplc="E87C6A42">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08E0FD7"/>
    <w:multiLevelType w:val="multilevel"/>
    <w:tmpl w:val="CCC40B5A"/>
    <w:lvl w:ilvl="0">
      <w:start w:val="2"/>
      <w:numFmt w:val="decimal"/>
      <w:lvlText w:val="%1."/>
      <w:lvlJc w:val="left"/>
      <w:pPr>
        <w:ind w:left="408" w:hanging="408"/>
      </w:pPr>
      <w:rPr>
        <w:b/>
      </w:rPr>
    </w:lvl>
    <w:lvl w:ilvl="1">
      <w:start w:val="1"/>
      <w:numFmt w:val="decimal"/>
      <w:lvlText w:val="%1.%2."/>
      <w:lvlJc w:val="left"/>
      <w:pPr>
        <w:ind w:left="4548" w:hanging="720"/>
      </w:pPr>
      <w:rPr>
        <w:b/>
      </w:rPr>
    </w:lvl>
    <w:lvl w:ilvl="2">
      <w:start w:val="1"/>
      <w:numFmt w:val="decimal"/>
      <w:lvlText w:val="%1.%2.%3."/>
      <w:lvlJc w:val="left"/>
      <w:pPr>
        <w:ind w:left="1440" w:hanging="720"/>
      </w:pPr>
      <w:rPr>
        <w:b/>
      </w:rPr>
    </w:lvl>
    <w:lvl w:ilvl="3">
      <w:start w:val="1"/>
      <w:numFmt w:val="decimal"/>
      <w:lvlText w:val="%1.%2.%3.%4."/>
      <w:lvlJc w:val="left"/>
      <w:pPr>
        <w:ind w:left="2160" w:hanging="1080"/>
      </w:pPr>
      <w:rPr>
        <w:b/>
      </w:rPr>
    </w:lvl>
    <w:lvl w:ilvl="4">
      <w:start w:val="1"/>
      <w:numFmt w:val="decimal"/>
      <w:lvlText w:val="%1.%2.%3.%4.%5."/>
      <w:lvlJc w:val="left"/>
      <w:pPr>
        <w:ind w:left="2520" w:hanging="1080"/>
      </w:pPr>
      <w:rPr>
        <w:b/>
      </w:rPr>
    </w:lvl>
    <w:lvl w:ilvl="5">
      <w:start w:val="1"/>
      <w:numFmt w:val="decimal"/>
      <w:lvlText w:val="%1.%2.%3.%4.%5.%6."/>
      <w:lvlJc w:val="left"/>
      <w:pPr>
        <w:ind w:left="3240" w:hanging="1440"/>
      </w:pPr>
      <w:rPr>
        <w:b/>
      </w:rPr>
    </w:lvl>
    <w:lvl w:ilvl="6">
      <w:start w:val="1"/>
      <w:numFmt w:val="decimal"/>
      <w:lvlText w:val="%1.%2.%3.%4.%5.%6.%7."/>
      <w:lvlJc w:val="left"/>
      <w:pPr>
        <w:ind w:left="3600" w:hanging="1440"/>
      </w:pPr>
      <w:rPr>
        <w:b/>
      </w:rPr>
    </w:lvl>
    <w:lvl w:ilvl="7">
      <w:start w:val="1"/>
      <w:numFmt w:val="decimal"/>
      <w:lvlText w:val="%1.%2.%3.%4.%5.%6.%7.%8."/>
      <w:lvlJc w:val="left"/>
      <w:pPr>
        <w:ind w:left="4320" w:hanging="1800"/>
      </w:pPr>
      <w:rPr>
        <w:b/>
      </w:rPr>
    </w:lvl>
    <w:lvl w:ilvl="8">
      <w:start w:val="1"/>
      <w:numFmt w:val="decimal"/>
      <w:lvlText w:val="%1.%2.%3.%4.%5.%6.%7.%8.%9."/>
      <w:lvlJc w:val="left"/>
      <w:pPr>
        <w:ind w:left="4680" w:hanging="1800"/>
      </w:pPr>
      <w:rPr>
        <w:b/>
      </w:rPr>
    </w:lvl>
  </w:abstractNum>
  <w:abstractNum w:abstractNumId="11" w15:restartNumberingAfterBreak="0">
    <w:nsid w:val="2919553A"/>
    <w:multiLevelType w:val="multilevel"/>
    <w:tmpl w:val="B0B22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CC3C44"/>
    <w:multiLevelType w:val="multilevel"/>
    <w:tmpl w:val="92A8B3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2F1325AB"/>
    <w:multiLevelType w:val="multilevel"/>
    <w:tmpl w:val="908025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4" w15:restartNumberingAfterBreak="0">
    <w:nsid w:val="3552376E"/>
    <w:multiLevelType w:val="hybridMultilevel"/>
    <w:tmpl w:val="65422A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C3E3B45"/>
    <w:multiLevelType w:val="hybridMultilevel"/>
    <w:tmpl w:val="498876D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573B49E9"/>
    <w:multiLevelType w:val="hybridMultilevel"/>
    <w:tmpl w:val="696A8E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66A35255"/>
    <w:multiLevelType w:val="multilevel"/>
    <w:tmpl w:val="9BC0A1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68247360"/>
    <w:multiLevelType w:val="multilevel"/>
    <w:tmpl w:val="E794D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9250FE8"/>
    <w:multiLevelType w:val="multilevel"/>
    <w:tmpl w:val="F62208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698B49BB"/>
    <w:multiLevelType w:val="multilevel"/>
    <w:tmpl w:val="9FE2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2C07BC4"/>
    <w:multiLevelType w:val="multilevel"/>
    <w:tmpl w:val="D47086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7B53EC8"/>
    <w:multiLevelType w:val="multilevel"/>
    <w:tmpl w:val="7B7E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9F0340E"/>
    <w:multiLevelType w:val="multilevel"/>
    <w:tmpl w:val="5A2CA2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C157DEB"/>
    <w:multiLevelType w:val="multilevel"/>
    <w:tmpl w:val="CA221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D462811"/>
    <w:multiLevelType w:val="hybridMultilevel"/>
    <w:tmpl w:val="B2F02A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7DAB5601"/>
    <w:multiLevelType w:val="hybridMultilevel"/>
    <w:tmpl w:val="E04C8208"/>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F885D15"/>
    <w:multiLevelType w:val="hybridMultilevel"/>
    <w:tmpl w:val="D7FEC4B0"/>
    <w:lvl w:ilvl="0" w:tplc="1A0A3398">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546721595">
    <w:abstractNumId w:val="1"/>
  </w:num>
  <w:num w:numId="2" w16cid:durableId="275409878">
    <w:abstractNumId w:val="23"/>
  </w:num>
  <w:num w:numId="3" w16cid:durableId="1767724012">
    <w:abstractNumId w:val="6"/>
  </w:num>
  <w:num w:numId="4" w16cid:durableId="1943298028">
    <w:abstractNumId w:val="13"/>
  </w:num>
  <w:num w:numId="5" w16cid:durableId="1015613580">
    <w:abstractNumId w:val="10"/>
  </w:num>
  <w:num w:numId="6" w16cid:durableId="1553544278">
    <w:abstractNumId w:val="5"/>
  </w:num>
  <w:num w:numId="7" w16cid:durableId="1648313460">
    <w:abstractNumId w:val="12"/>
  </w:num>
  <w:num w:numId="8" w16cid:durableId="1679238106">
    <w:abstractNumId w:val="19"/>
  </w:num>
  <w:num w:numId="9" w16cid:durableId="392126324">
    <w:abstractNumId w:val="17"/>
  </w:num>
  <w:num w:numId="10" w16cid:durableId="111897670">
    <w:abstractNumId w:val="4"/>
  </w:num>
  <w:num w:numId="11" w16cid:durableId="1358579313">
    <w:abstractNumId w:val="8"/>
  </w:num>
  <w:num w:numId="12" w16cid:durableId="955915112">
    <w:abstractNumId w:val="7"/>
  </w:num>
  <w:num w:numId="13" w16cid:durableId="1760444684">
    <w:abstractNumId w:val="21"/>
  </w:num>
  <w:num w:numId="14" w16cid:durableId="670525971">
    <w:abstractNumId w:val="14"/>
  </w:num>
  <w:num w:numId="15" w16cid:durableId="1056079474">
    <w:abstractNumId w:val="20"/>
  </w:num>
  <w:num w:numId="16" w16cid:durableId="933395097">
    <w:abstractNumId w:val="2"/>
  </w:num>
  <w:num w:numId="17" w16cid:durableId="1973097873">
    <w:abstractNumId w:val="27"/>
  </w:num>
  <w:num w:numId="18" w16cid:durableId="1045716510">
    <w:abstractNumId w:val="25"/>
  </w:num>
  <w:num w:numId="19" w16cid:durableId="919676335">
    <w:abstractNumId w:val="9"/>
  </w:num>
  <w:num w:numId="20" w16cid:durableId="885143190">
    <w:abstractNumId w:val="18"/>
  </w:num>
  <w:num w:numId="21" w16cid:durableId="918098677">
    <w:abstractNumId w:val="26"/>
  </w:num>
  <w:num w:numId="22" w16cid:durableId="25375781">
    <w:abstractNumId w:val="15"/>
  </w:num>
  <w:num w:numId="23" w16cid:durableId="307978057">
    <w:abstractNumId w:val="24"/>
  </w:num>
  <w:num w:numId="24" w16cid:durableId="443381425">
    <w:abstractNumId w:val="22"/>
  </w:num>
  <w:num w:numId="25" w16cid:durableId="2094469127">
    <w:abstractNumId w:val="11"/>
  </w:num>
  <w:num w:numId="26" w16cid:durableId="1062632775">
    <w:abstractNumId w:val="16"/>
  </w:num>
  <w:num w:numId="27" w16cid:durableId="542326880">
    <w:abstractNumId w:val="3"/>
  </w:num>
  <w:num w:numId="28" w16cid:durableId="11203405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103"/>
    <w:rsid w:val="00001198"/>
    <w:rsid w:val="0000278B"/>
    <w:rsid w:val="000039D8"/>
    <w:rsid w:val="00003DCD"/>
    <w:rsid w:val="000064B2"/>
    <w:rsid w:val="000064E3"/>
    <w:rsid w:val="00011F20"/>
    <w:rsid w:val="00011F55"/>
    <w:rsid w:val="00013BFD"/>
    <w:rsid w:val="0002346D"/>
    <w:rsid w:val="000235A3"/>
    <w:rsid w:val="000269FE"/>
    <w:rsid w:val="000302E1"/>
    <w:rsid w:val="0003170A"/>
    <w:rsid w:val="00034C67"/>
    <w:rsid w:val="00036723"/>
    <w:rsid w:val="00040D32"/>
    <w:rsid w:val="00047299"/>
    <w:rsid w:val="00050694"/>
    <w:rsid w:val="000555D7"/>
    <w:rsid w:val="000614D6"/>
    <w:rsid w:val="000646AA"/>
    <w:rsid w:val="0006713A"/>
    <w:rsid w:val="00067751"/>
    <w:rsid w:val="00070F10"/>
    <w:rsid w:val="00074031"/>
    <w:rsid w:val="00082C40"/>
    <w:rsid w:val="00086431"/>
    <w:rsid w:val="0009167C"/>
    <w:rsid w:val="00093F03"/>
    <w:rsid w:val="00094842"/>
    <w:rsid w:val="00095BAF"/>
    <w:rsid w:val="00096B94"/>
    <w:rsid w:val="000A0A30"/>
    <w:rsid w:val="000A0FA6"/>
    <w:rsid w:val="000A300A"/>
    <w:rsid w:val="000B4DE6"/>
    <w:rsid w:val="000B58AF"/>
    <w:rsid w:val="000C3CB4"/>
    <w:rsid w:val="000C6A77"/>
    <w:rsid w:val="000D44D1"/>
    <w:rsid w:val="000D5C05"/>
    <w:rsid w:val="000D5E4E"/>
    <w:rsid w:val="000D7D13"/>
    <w:rsid w:val="000E2F9E"/>
    <w:rsid w:val="000E4E45"/>
    <w:rsid w:val="000F0103"/>
    <w:rsid w:val="000F41BD"/>
    <w:rsid w:val="000F621E"/>
    <w:rsid w:val="00101F65"/>
    <w:rsid w:val="001103D7"/>
    <w:rsid w:val="00111605"/>
    <w:rsid w:val="00111C97"/>
    <w:rsid w:val="00111EF0"/>
    <w:rsid w:val="00112DD6"/>
    <w:rsid w:val="00114BE7"/>
    <w:rsid w:val="001225EF"/>
    <w:rsid w:val="00122CAD"/>
    <w:rsid w:val="0014430E"/>
    <w:rsid w:val="00147C69"/>
    <w:rsid w:val="0015473F"/>
    <w:rsid w:val="001571E4"/>
    <w:rsid w:val="0016008D"/>
    <w:rsid w:val="0016135B"/>
    <w:rsid w:val="00161C5A"/>
    <w:rsid w:val="001662D8"/>
    <w:rsid w:val="00174190"/>
    <w:rsid w:val="00174710"/>
    <w:rsid w:val="00175B5E"/>
    <w:rsid w:val="0018354E"/>
    <w:rsid w:val="00184F6E"/>
    <w:rsid w:val="00187A84"/>
    <w:rsid w:val="00193D68"/>
    <w:rsid w:val="001A0215"/>
    <w:rsid w:val="001A05AF"/>
    <w:rsid w:val="001A1A20"/>
    <w:rsid w:val="001A3769"/>
    <w:rsid w:val="001A491A"/>
    <w:rsid w:val="001B077A"/>
    <w:rsid w:val="001B0A7F"/>
    <w:rsid w:val="001B41B2"/>
    <w:rsid w:val="001B4C63"/>
    <w:rsid w:val="001C0F8C"/>
    <w:rsid w:val="001C7270"/>
    <w:rsid w:val="001C731A"/>
    <w:rsid w:val="001C7693"/>
    <w:rsid w:val="001D125C"/>
    <w:rsid w:val="001D49B2"/>
    <w:rsid w:val="001E0679"/>
    <w:rsid w:val="001E06CD"/>
    <w:rsid w:val="001E2C2A"/>
    <w:rsid w:val="001E2DDA"/>
    <w:rsid w:val="001E4475"/>
    <w:rsid w:val="001F174E"/>
    <w:rsid w:val="001F223F"/>
    <w:rsid w:val="001F30F5"/>
    <w:rsid w:val="001F40BB"/>
    <w:rsid w:val="001F7EC4"/>
    <w:rsid w:val="00204E47"/>
    <w:rsid w:val="002058A1"/>
    <w:rsid w:val="00206801"/>
    <w:rsid w:val="00206F61"/>
    <w:rsid w:val="002168BF"/>
    <w:rsid w:val="002220C5"/>
    <w:rsid w:val="00222AA7"/>
    <w:rsid w:val="00224EB7"/>
    <w:rsid w:val="00231D42"/>
    <w:rsid w:val="00233293"/>
    <w:rsid w:val="00237DCB"/>
    <w:rsid w:val="00240A97"/>
    <w:rsid w:val="00244A34"/>
    <w:rsid w:val="002453C2"/>
    <w:rsid w:val="002458D5"/>
    <w:rsid w:val="00255228"/>
    <w:rsid w:val="0025766B"/>
    <w:rsid w:val="0026030D"/>
    <w:rsid w:val="00260E02"/>
    <w:rsid w:val="00261179"/>
    <w:rsid w:val="00262167"/>
    <w:rsid w:val="00267233"/>
    <w:rsid w:val="002805E6"/>
    <w:rsid w:val="0028159D"/>
    <w:rsid w:val="00285E65"/>
    <w:rsid w:val="002874AB"/>
    <w:rsid w:val="00293AB4"/>
    <w:rsid w:val="002945C9"/>
    <w:rsid w:val="0029537E"/>
    <w:rsid w:val="0029585B"/>
    <w:rsid w:val="00297358"/>
    <w:rsid w:val="002A104A"/>
    <w:rsid w:val="002A25C4"/>
    <w:rsid w:val="002B7D5A"/>
    <w:rsid w:val="002C153A"/>
    <w:rsid w:val="002C593A"/>
    <w:rsid w:val="002D0D3F"/>
    <w:rsid w:val="002D1F68"/>
    <w:rsid w:val="002D3F6B"/>
    <w:rsid w:val="002E06CF"/>
    <w:rsid w:val="002E1358"/>
    <w:rsid w:val="002E23EA"/>
    <w:rsid w:val="002E6EE9"/>
    <w:rsid w:val="002F138C"/>
    <w:rsid w:val="002F30DB"/>
    <w:rsid w:val="002F5701"/>
    <w:rsid w:val="00301912"/>
    <w:rsid w:val="003033B2"/>
    <w:rsid w:val="00304C31"/>
    <w:rsid w:val="00306490"/>
    <w:rsid w:val="00306A9C"/>
    <w:rsid w:val="00313A32"/>
    <w:rsid w:val="003141BF"/>
    <w:rsid w:val="00317DCF"/>
    <w:rsid w:val="00330D6B"/>
    <w:rsid w:val="0033386A"/>
    <w:rsid w:val="003363B1"/>
    <w:rsid w:val="00337718"/>
    <w:rsid w:val="00340C38"/>
    <w:rsid w:val="00341AB6"/>
    <w:rsid w:val="003426E5"/>
    <w:rsid w:val="0034392B"/>
    <w:rsid w:val="0034397D"/>
    <w:rsid w:val="00345610"/>
    <w:rsid w:val="00351ECB"/>
    <w:rsid w:val="0035679E"/>
    <w:rsid w:val="00363305"/>
    <w:rsid w:val="00370C48"/>
    <w:rsid w:val="00375501"/>
    <w:rsid w:val="003772DB"/>
    <w:rsid w:val="00377602"/>
    <w:rsid w:val="0039469F"/>
    <w:rsid w:val="00396795"/>
    <w:rsid w:val="003B1F89"/>
    <w:rsid w:val="003B5DB6"/>
    <w:rsid w:val="003B6557"/>
    <w:rsid w:val="003B74DC"/>
    <w:rsid w:val="003C173C"/>
    <w:rsid w:val="003C4646"/>
    <w:rsid w:val="003C75D4"/>
    <w:rsid w:val="003D0086"/>
    <w:rsid w:val="003E0A5D"/>
    <w:rsid w:val="003E0FC6"/>
    <w:rsid w:val="003E196A"/>
    <w:rsid w:val="003E242F"/>
    <w:rsid w:val="003E4E02"/>
    <w:rsid w:val="003F0CB0"/>
    <w:rsid w:val="003F351E"/>
    <w:rsid w:val="003F7F82"/>
    <w:rsid w:val="00405D99"/>
    <w:rsid w:val="0040657F"/>
    <w:rsid w:val="004067CC"/>
    <w:rsid w:val="00407A7D"/>
    <w:rsid w:val="00417135"/>
    <w:rsid w:val="004177FD"/>
    <w:rsid w:val="00421709"/>
    <w:rsid w:val="004257DC"/>
    <w:rsid w:val="00425E10"/>
    <w:rsid w:val="00430B79"/>
    <w:rsid w:val="00432EED"/>
    <w:rsid w:val="0043554D"/>
    <w:rsid w:val="00436C19"/>
    <w:rsid w:val="00447B36"/>
    <w:rsid w:val="00450E13"/>
    <w:rsid w:val="00452B92"/>
    <w:rsid w:val="0045676F"/>
    <w:rsid w:val="00462DB2"/>
    <w:rsid w:val="00465669"/>
    <w:rsid w:val="00473910"/>
    <w:rsid w:val="004753BD"/>
    <w:rsid w:val="00482B11"/>
    <w:rsid w:val="00484C62"/>
    <w:rsid w:val="00487343"/>
    <w:rsid w:val="00493F48"/>
    <w:rsid w:val="004A1867"/>
    <w:rsid w:val="004A2181"/>
    <w:rsid w:val="004A3535"/>
    <w:rsid w:val="004A5356"/>
    <w:rsid w:val="004A5A04"/>
    <w:rsid w:val="004B0CBF"/>
    <w:rsid w:val="004B608C"/>
    <w:rsid w:val="004C112F"/>
    <w:rsid w:val="004C2077"/>
    <w:rsid w:val="004C50EF"/>
    <w:rsid w:val="004D3A46"/>
    <w:rsid w:val="004D51F8"/>
    <w:rsid w:val="004E0749"/>
    <w:rsid w:val="004E091E"/>
    <w:rsid w:val="004E494B"/>
    <w:rsid w:val="004F0D5B"/>
    <w:rsid w:val="004F369E"/>
    <w:rsid w:val="004F3A66"/>
    <w:rsid w:val="004F4FE2"/>
    <w:rsid w:val="004F5E86"/>
    <w:rsid w:val="00500E74"/>
    <w:rsid w:val="00502246"/>
    <w:rsid w:val="005037A8"/>
    <w:rsid w:val="00510170"/>
    <w:rsid w:val="00521A04"/>
    <w:rsid w:val="005241F1"/>
    <w:rsid w:val="005278AC"/>
    <w:rsid w:val="00530315"/>
    <w:rsid w:val="00535331"/>
    <w:rsid w:val="00536389"/>
    <w:rsid w:val="005369E4"/>
    <w:rsid w:val="0054091E"/>
    <w:rsid w:val="005418E0"/>
    <w:rsid w:val="00541ACD"/>
    <w:rsid w:val="00551606"/>
    <w:rsid w:val="00551E85"/>
    <w:rsid w:val="0055252B"/>
    <w:rsid w:val="00553F18"/>
    <w:rsid w:val="00556319"/>
    <w:rsid w:val="005566D3"/>
    <w:rsid w:val="00570D79"/>
    <w:rsid w:val="005723AC"/>
    <w:rsid w:val="00573864"/>
    <w:rsid w:val="005744E7"/>
    <w:rsid w:val="00574CA0"/>
    <w:rsid w:val="00581415"/>
    <w:rsid w:val="0058550D"/>
    <w:rsid w:val="00587D79"/>
    <w:rsid w:val="00597DEA"/>
    <w:rsid w:val="005A021D"/>
    <w:rsid w:val="005A211D"/>
    <w:rsid w:val="005A2756"/>
    <w:rsid w:val="005A3F58"/>
    <w:rsid w:val="005B62FF"/>
    <w:rsid w:val="005C1E02"/>
    <w:rsid w:val="005C5328"/>
    <w:rsid w:val="005C7D01"/>
    <w:rsid w:val="005D13B9"/>
    <w:rsid w:val="005D1799"/>
    <w:rsid w:val="005D2D7B"/>
    <w:rsid w:val="005E2D75"/>
    <w:rsid w:val="005E39AA"/>
    <w:rsid w:val="005F08A8"/>
    <w:rsid w:val="005F27E7"/>
    <w:rsid w:val="005F3111"/>
    <w:rsid w:val="005F31F6"/>
    <w:rsid w:val="005F44DE"/>
    <w:rsid w:val="0060222E"/>
    <w:rsid w:val="00606A3A"/>
    <w:rsid w:val="00622B5B"/>
    <w:rsid w:val="0062350B"/>
    <w:rsid w:val="00624EC1"/>
    <w:rsid w:val="00625628"/>
    <w:rsid w:val="00625638"/>
    <w:rsid w:val="0062592A"/>
    <w:rsid w:val="00625DD5"/>
    <w:rsid w:val="00630BF1"/>
    <w:rsid w:val="00631C6A"/>
    <w:rsid w:val="006325C3"/>
    <w:rsid w:val="006329A6"/>
    <w:rsid w:val="00637B16"/>
    <w:rsid w:val="006453A7"/>
    <w:rsid w:val="0064675A"/>
    <w:rsid w:val="00646BC3"/>
    <w:rsid w:val="006479F6"/>
    <w:rsid w:val="00650858"/>
    <w:rsid w:val="006516C4"/>
    <w:rsid w:val="00652720"/>
    <w:rsid w:val="00653040"/>
    <w:rsid w:val="00653D1E"/>
    <w:rsid w:val="00654023"/>
    <w:rsid w:val="00662369"/>
    <w:rsid w:val="0066546B"/>
    <w:rsid w:val="0066568F"/>
    <w:rsid w:val="006661D8"/>
    <w:rsid w:val="006665D8"/>
    <w:rsid w:val="006675AF"/>
    <w:rsid w:val="00672405"/>
    <w:rsid w:val="00676F8D"/>
    <w:rsid w:val="00677EF2"/>
    <w:rsid w:val="00680BBE"/>
    <w:rsid w:val="006824D3"/>
    <w:rsid w:val="006831E5"/>
    <w:rsid w:val="00692DB5"/>
    <w:rsid w:val="006A0309"/>
    <w:rsid w:val="006A06EF"/>
    <w:rsid w:val="006B1C2F"/>
    <w:rsid w:val="006B28A3"/>
    <w:rsid w:val="006B44E0"/>
    <w:rsid w:val="006B4FE8"/>
    <w:rsid w:val="006C1356"/>
    <w:rsid w:val="006C1D90"/>
    <w:rsid w:val="006C446E"/>
    <w:rsid w:val="006C552A"/>
    <w:rsid w:val="006C7E3D"/>
    <w:rsid w:val="006D0832"/>
    <w:rsid w:val="006D560F"/>
    <w:rsid w:val="006D5D2A"/>
    <w:rsid w:val="006D65BB"/>
    <w:rsid w:val="006E1F38"/>
    <w:rsid w:val="006E31D1"/>
    <w:rsid w:val="006F3C25"/>
    <w:rsid w:val="006F743B"/>
    <w:rsid w:val="00710D8F"/>
    <w:rsid w:val="00714399"/>
    <w:rsid w:val="007143A7"/>
    <w:rsid w:val="00715B0F"/>
    <w:rsid w:val="00716B1B"/>
    <w:rsid w:val="00721FB8"/>
    <w:rsid w:val="00725A57"/>
    <w:rsid w:val="00725CEA"/>
    <w:rsid w:val="00736414"/>
    <w:rsid w:val="00737E6E"/>
    <w:rsid w:val="00740158"/>
    <w:rsid w:val="007426CB"/>
    <w:rsid w:val="0074445D"/>
    <w:rsid w:val="007454A4"/>
    <w:rsid w:val="00746E73"/>
    <w:rsid w:val="00747808"/>
    <w:rsid w:val="007507EC"/>
    <w:rsid w:val="007549FB"/>
    <w:rsid w:val="00766137"/>
    <w:rsid w:val="007703A0"/>
    <w:rsid w:val="007749DB"/>
    <w:rsid w:val="007816A0"/>
    <w:rsid w:val="00781B01"/>
    <w:rsid w:val="00795A7F"/>
    <w:rsid w:val="00796E47"/>
    <w:rsid w:val="007978FD"/>
    <w:rsid w:val="007A2930"/>
    <w:rsid w:val="007A4029"/>
    <w:rsid w:val="007A57F0"/>
    <w:rsid w:val="007B1AD3"/>
    <w:rsid w:val="007B4EC5"/>
    <w:rsid w:val="007C0B8D"/>
    <w:rsid w:val="007C2235"/>
    <w:rsid w:val="007C3EF5"/>
    <w:rsid w:val="007C5C71"/>
    <w:rsid w:val="007D1244"/>
    <w:rsid w:val="007D3A4F"/>
    <w:rsid w:val="007D3E9E"/>
    <w:rsid w:val="007D3FCD"/>
    <w:rsid w:val="007D5A37"/>
    <w:rsid w:val="007D7F38"/>
    <w:rsid w:val="007E056D"/>
    <w:rsid w:val="007F3116"/>
    <w:rsid w:val="007F33B7"/>
    <w:rsid w:val="007F5EF0"/>
    <w:rsid w:val="007F6E47"/>
    <w:rsid w:val="00811EC2"/>
    <w:rsid w:val="00820FDA"/>
    <w:rsid w:val="00824D7A"/>
    <w:rsid w:val="00825560"/>
    <w:rsid w:val="00830B2A"/>
    <w:rsid w:val="00832871"/>
    <w:rsid w:val="00836507"/>
    <w:rsid w:val="008567FE"/>
    <w:rsid w:val="00856E11"/>
    <w:rsid w:val="00857A80"/>
    <w:rsid w:val="00857C74"/>
    <w:rsid w:val="00861C93"/>
    <w:rsid w:val="00865249"/>
    <w:rsid w:val="00865676"/>
    <w:rsid w:val="0087203C"/>
    <w:rsid w:val="00875BB0"/>
    <w:rsid w:val="00876A2E"/>
    <w:rsid w:val="008839D9"/>
    <w:rsid w:val="00884D4B"/>
    <w:rsid w:val="008966AD"/>
    <w:rsid w:val="008A20CD"/>
    <w:rsid w:val="008A7E9A"/>
    <w:rsid w:val="008B10B9"/>
    <w:rsid w:val="008B2CF1"/>
    <w:rsid w:val="008B38EF"/>
    <w:rsid w:val="008B43EA"/>
    <w:rsid w:val="008C36A9"/>
    <w:rsid w:val="008C5D5E"/>
    <w:rsid w:val="008C79BD"/>
    <w:rsid w:val="008E13B7"/>
    <w:rsid w:val="008E7878"/>
    <w:rsid w:val="008F1A72"/>
    <w:rsid w:val="008F4A70"/>
    <w:rsid w:val="008F562A"/>
    <w:rsid w:val="008F59CF"/>
    <w:rsid w:val="009007D3"/>
    <w:rsid w:val="00900B9D"/>
    <w:rsid w:val="0091317F"/>
    <w:rsid w:val="00914C19"/>
    <w:rsid w:val="00917D12"/>
    <w:rsid w:val="009213DF"/>
    <w:rsid w:val="00927740"/>
    <w:rsid w:val="00927AB9"/>
    <w:rsid w:val="009336FF"/>
    <w:rsid w:val="009451EB"/>
    <w:rsid w:val="00950257"/>
    <w:rsid w:val="00951643"/>
    <w:rsid w:val="00952D3A"/>
    <w:rsid w:val="009556DC"/>
    <w:rsid w:val="00955D73"/>
    <w:rsid w:val="00960B94"/>
    <w:rsid w:val="0096675E"/>
    <w:rsid w:val="00970A57"/>
    <w:rsid w:val="00972341"/>
    <w:rsid w:val="00972B83"/>
    <w:rsid w:val="0097676F"/>
    <w:rsid w:val="00982CB1"/>
    <w:rsid w:val="00982E2E"/>
    <w:rsid w:val="00982FC0"/>
    <w:rsid w:val="009838AA"/>
    <w:rsid w:val="00987216"/>
    <w:rsid w:val="00991CCF"/>
    <w:rsid w:val="00995293"/>
    <w:rsid w:val="009A0260"/>
    <w:rsid w:val="009A10CD"/>
    <w:rsid w:val="009A4569"/>
    <w:rsid w:val="009A5ED1"/>
    <w:rsid w:val="009A6F8B"/>
    <w:rsid w:val="009A72E2"/>
    <w:rsid w:val="009B17FE"/>
    <w:rsid w:val="009B4EB5"/>
    <w:rsid w:val="009C0029"/>
    <w:rsid w:val="009C5CCA"/>
    <w:rsid w:val="009D5B55"/>
    <w:rsid w:val="009E0F70"/>
    <w:rsid w:val="009E2F7A"/>
    <w:rsid w:val="009E4326"/>
    <w:rsid w:val="009E43F7"/>
    <w:rsid w:val="009E6A2E"/>
    <w:rsid w:val="009E6F0C"/>
    <w:rsid w:val="009F01DE"/>
    <w:rsid w:val="009F1769"/>
    <w:rsid w:val="009F3685"/>
    <w:rsid w:val="009F3BB0"/>
    <w:rsid w:val="00A143F7"/>
    <w:rsid w:val="00A16C37"/>
    <w:rsid w:val="00A20395"/>
    <w:rsid w:val="00A22F0B"/>
    <w:rsid w:val="00A27477"/>
    <w:rsid w:val="00A32741"/>
    <w:rsid w:val="00A32BD1"/>
    <w:rsid w:val="00A32D49"/>
    <w:rsid w:val="00A36B44"/>
    <w:rsid w:val="00A41619"/>
    <w:rsid w:val="00A4277E"/>
    <w:rsid w:val="00A5199E"/>
    <w:rsid w:val="00A55DDD"/>
    <w:rsid w:val="00A5649F"/>
    <w:rsid w:val="00A56BFF"/>
    <w:rsid w:val="00A62F55"/>
    <w:rsid w:val="00A63BDC"/>
    <w:rsid w:val="00A715A1"/>
    <w:rsid w:val="00A748BB"/>
    <w:rsid w:val="00A75103"/>
    <w:rsid w:val="00A77FD7"/>
    <w:rsid w:val="00A808F8"/>
    <w:rsid w:val="00A8776E"/>
    <w:rsid w:val="00A87AF8"/>
    <w:rsid w:val="00AA1AB1"/>
    <w:rsid w:val="00AB08B4"/>
    <w:rsid w:val="00AB09AD"/>
    <w:rsid w:val="00AB52FD"/>
    <w:rsid w:val="00AB63F6"/>
    <w:rsid w:val="00AB7293"/>
    <w:rsid w:val="00AC2742"/>
    <w:rsid w:val="00AC4089"/>
    <w:rsid w:val="00AC51F6"/>
    <w:rsid w:val="00AC6103"/>
    <w:rsid w:val="00AC7266"/>
    <w:rsid w:val="00AC72E1"/>
    <w:rsid w:val="00AD035B"/>
    <w:rsid w:val="00AD0A11"/>
    <w:rsid w:val="00AD301E"/>
    <w:rsid w:val="00AD489D"/>
    <w:rsid w:val="00AE1095"/>
    <w:rsid w:val="00AE300F"/>
    <w:rsid w:val="00AE7D8F"/>
    <w:rsid w:val="00AF065C"/>
    <w:rsid w:val="00AF1488"/>
    <w:rsid w:val="00AF1CF6"/>
    <w:rsid w:val="00AF227D"/>
    <w:rsid w:val="00B067CE"/>
    <w:rsid w:val="00B12257"/>
    <w:rsid w:val="00B13034"/>
    <w:rsid w:val="00B1636A"/>
    <w:rsid w:val="00B1761F"/>
    <w:rsid w:val="00B22709"/>
    <w:rsid w:val="00B23ADE"/>
    <w:rsid w:val="00B254A2"/>
    <w:rsid w:val="00B31733"/>
    <w:rsid w:val="00B361B1"/>
    <w:rsid w:val="00B36F34"/>
    <w:rsid w:val="00B42E71"/>
    <w:rsid w:val="00B46DF4"/>
    <w:rsid w:val="00B4707A"/>
    <w:rsid w:val="00B51239"/>
    <w:rsid w:val="00B531E2"/>
    <w:rsid w:val="00B5357B"/>
    <w:rsid w:val="00B5513D"/>
    <w:rsid w:val="00B56DD3"/>
    <w:rsid w:val="00B64E3E"/>
    <w:rsid w:val="00B66BD8"/>
    <w:rsid w:val="00B71C5D"/>
    <w:rsid w:val="00B7246C"/>
    <w:rsid w:val="00B73686"/>
    <w:rsid w:val="00B74CF7"/>
    <w:rsid w:val="00B7592E"/>
    <w:rsid w:val="00B766B7"/>
    <w:rsid w:val="00B83EBD"/>
    <w:rsid w:val="00B85170"/>
    <w:rsid w:val="00B86424"/>
    <w:rsid w:val="00B913F6"/>
    <w:rsid w:val="00B944A4"/>
    <w:rsid w:val="00B96913"/>
    <w:rsid w:val="00BA068F"/>
    <w:rsid w:val="00BA084A"/>
    <w:rsid w:val="00BA2088"/>
    <w:rsid w:val="00BC0344"/>
    <w:rsid w:val="00BD5170"/>
    <w:rsid w:val="00BD7F38"/>
    <w:rsid w:val="00BE3ECD"/>
    <w:rsid w:val="00BE532F"/>
    <w:rsid w:val="00BE5623"/>
    <w:rsid w:val="00BE7E2B"/>
    <w:rsid w:val="00BF1345"/>
    <w:rsid w:val="00BF160B"/>
    <w:rsid w:val="00BF6A3E"/>
    <w:rsid w:val="00C03B0C"/>
    <w:rsid w:val="00C1232A"/>
    <w:rsid w:val="00C12DF0"/>
    <w:rsid w:val="00C13115"/>
    <w:rsid w:val="00C15C06"/>
    <w:rsid w:val="00C22F18"/>
    <w:rsid w:val="00C25FEF"/>
    <w:rsid w:val="00C3123D"/>
    <w:rsid w:val="00C31459"/>
    <w:rsid w:val="00C34A50"/>
    <w:rsid w:val="00C37AA6"/>
    <w:rsid w:val="00C4170F"/>
    <w:rsid w:val="00C448C5"/>
    <w:rsid w:val="00C45900"/>
    <w:rsid w:val="00C51C1C"/>
    <w:rsid w:val="00C521C7"/>
    <w:rsid w:val="00C5345A"/>
    <w:rsid w:val="00C56B98"/>
    <w:rsid w:val="00C67709"/>
    <w:rsid w:val="00C763FF"/>
    <w:rsid w:val="00C8018B"/>
    <w:rsid w:val="00C80AFC"/>
    <w:rsid w:val="00C87981"/>
    <w:rsid w:val="00C90C72"/>
    <w:rsid w:val="00C9126F"/>
    <w:rsid w:val="00C96645"/>
    <w:rsid w:val="00CA2BDE"/>
    <w:rsid w:val="00CA2BFA"/>
    <w:rsid w:val="00CA380F"/>
    <w:rsid w:val="00CA42F6"/>
    <w:rsid w:val="00CA5175"/>
    <w:rsid w:val="00CA656C"/>
    <w:rsid w:val="00CB0575"/>
    <w:rsid w:val="00CB063E"/>
    <w:rsid w:val="00CB15F1"/>
    <w:rsid w:val="00CB5FA6"/>
    <w:rsid w:val="00CB7448"/>
    <w:rsid w:val="00CC04C5"/>
    <w:rsid w:val="00CC4485"/>
    <w:rsid w:val="00CC7DE7"/>
    <w:rsid w:val="00CD11F6"/>
    <w:rsid w:val="00CD2E5A"/>
    <w:rsid w:val="00CD4583"/>
    <w:rsid w:val="00CD52DE"/>
    <w:rsid w:val="00CD76B4"/>
    <w:rsid w:val="00CE2FE1"/>
    <w:rsid w:val="00CF46D3"/>
    <w:rsid w:val="00D01F79"/>
    <w:rsid w:val="00D0332A"/>
    <w:rsid w:val="00D0461C"/>
    <w:rsid w:val="00D1170B"/>
    <w:rsid w:val="00D12428"/>
    <w:rsid w:val="00D14931"/>
    <w:rsid w:val="00D20537"/>
    <w:rsid w:val="00D23EBD"/>
    <w:rsid w:val="00D24D6B"/>
    <w:rsid w:val="00D27614"/>
    <w:rsid w:val="00D32F8A"/>
    <w:rsid w:val="00D4127B"/>
    <w:rsid w:val="00D414F9"/>
    <w:rsid w:val="00D43AD9"/>
    <w:rsid w:val="00D54A69"/>
    <w:rsid w:val="00D54E03"/>
    <w:rsid w:val="00D65A08"/>
    <w:rsid w:val="00D67FE9"/>
    <w:rsid w:val="00D73A70"/>
    <w:rsid w:val="00D74179"/>
    <w:rsid w:val="00D76FEA"/>
    <w:rsid w:val="00D82E75"/>
    <w:rsid w:val="00D860DB"/>
    <w:rsid w:val="00D87A70"/>
    <w:rsid w:val="00D87D75"/>
    <w:rsid w:val="00D90662"/>
    <w:rsid w:val="00D92C7D"/>
    <w:rsid w:val="00D96AD6"/>
    <w:rsid w:val="00DA410A"/>
    <w:rsid w:val="00DB0276"/>
    <w:rsid w:val="00DB0583"/>
    <w:rsid w:val="00DB2244"/>
    <w:rsid w:val="00DB231A"/>
    <w:rsid w:val="00DB41A6"/>
    <w:rsid w:val="00DC1503"/>
    <w:rsid w:val="00DC3E17"/>
    <w:rsid w:val="00DC7ECD"/>
    <w:rsid w:val="00DD1171"/>
    <w:rsid w:val="00DD5911"/>
    <w:rsid w:val="00DE00F1"/>
    <w:rsid w:val="00DE341C"/>
    <w:rsid w:val="00DE5F30"/>
    <w:rsid w:val="00DF4075"/>
    <w:rsid w:val="00E012EE"/>
    <w:rsid w:val="00E1569C"/>
    <w:rsid w:val="00E17C4C"/>
    <w:rsid w:val="00E208CD"/>
    <w:rsid w:val="00E24FE9"/>
    <w:rsid w:val="00E26B41"/>
    <w:rsid w:val="00E2707C"/>
    <w:rsid w:val="00E36238"/>
    <w:rsid w:val="00E40F98"/>
    <w:rsid w:val="00E51437"/>
    <w:rsid w:val="00E54273"/>
    <w:rsid w:val="00E54442"/>
    <w:rsid w:val="00E55425"/>
    <w:rsid w:val="00E63CB3"/>
    <w:rsid w:val="00E6571F"/>
    <w:rsid w:val="00E66514"/>
    <w:rsid w:val="00E66F95"/>
    <w:rsid w:val="00E67AC1"/>
    <w:rsid w:val="00E709C6"/>
    <w:rsid w:val="00E746E8"/>
    <w:rsid w:val="00E757BC"/>
    <w:rsid w:val="00E8102B"/>
    <w:rsid w:val="00E81A94"/>
    <w:rsid w:val="00E82E60"/>
    <w:rsid w:val="00E83314"/>
    <w:rsid w:val="00E84DC5"/>
    <w:rsid w:val="00E8639D"/>
    <w:rsid w:val="00E87031"/>
    <w:rsid w:val="00E87858"/>
    <w:rsid w:val="00E909C4"/>
    <w:rsid w:val="00E93507"/>
    <w:rsid w:val="00E97D05"/>
    <w:rsid w:val="00EA0524"/>
    <w:rsid w:val="00EA4BE8"/>
    <w:rsid w:val="00EA648B"/>
    <w:rsid w:val="00EB635D"/>
    <w:rsid w:val="00EB7669"/>
    <w:rsid w:val="00EC4D25"/>
    <w:rsid w:val="00ED1CF1"/>
    <w:rsid w:val="00EE2BC8"/>
    <w:rsid w:val="00EE4D2E"/>
    <w:rsid w:val="00EF0148"/>
    <w:rsid w:val="00EF0DE0"/>
    <w:rsid w:val="00EF1F9B"/>
    <w:rsid w:val="00EF567D"/>
    <w:rsid w:val="00EF71D1"/>
    <w:rsid w:val="00EF7AD6"/>
    <w:rsid w:val="00F1000E"/>
    <w:rsid w:val="00F13DBD"/>
    <w:rsid w:val="00F20987"/>
    <w:rsid w:val="00F22058"/>
    <w:rsid w:val="00F22AF7"/>
    <w:rsid w:val="00F22C70"/>
    <w:rsid w:val="00F25667"/>
    <w:rsid w:val="00F30986"/>
    <w:rsid w:val="00F31296"/>
    <w:rsid w:val="00F31D3C"/>
    <w:rsid w:val="00F35EF2"/>
    <w:rsid w:val="00F47956"/>
    <w:rsid w:val="00F514E9"/>
    <w:rsid w:val="00F52D37"/>
    <w:rsid w:val="00F5307C"/>
    <w:rsid w:val="00F541B1"/>
    <w:rsid w:val="00F57DD9"/>
    <w:rsid w:val="00F63111"/>
    <w:rsid w:val="00F63605"/>
    <w:rsid w:val="00F64FDE"/>
    <w:rsid w:val="00F73911"/>
    <w:rsid w:val="00F80305"/>
    <w:rsid w:val="00F92F9C"/>
    <w:rsid w:val="00F938D6"/>
    <w:rsid w:val="00FA23B8"/>
    <w:rsid w:val="00FA52F6"/>
    <w:rsid w:val="00FB0123"/>
    <w:rsid w:val="00FB5688"/>
    <w:rsid w:val="00FB5903"/>
    <w:rsid w:val="00FC49E5"/>
    <w:rsid w:val="00FC6AC9"/>
    <w:rsid w:val="00FC73BD"/>
    <w:rsid w:val="00FD08E6"/>
    <w:rsid w:val="00FD351E"/>
    <w:rsid w:val="00FE04B9"/>
    <w:rsid w:val="00FE17B8"/>
    <w:rsid w:val="00FE3BB0"/>
    <w:rsid w:val="00FF02F1"/>
    <w:rsid w:val="00FF2198"/>
    <w:rsid w:val="00FF3090"/>
    <w:rsid w:val="00FF5385"/>
    <w:rsid w:val="00FF573E"/>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53221"/>
  <w15:docId w15:val="{A02EF9A0-A525-45AB-A22E-EA47791F7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IT"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30E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530E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530EA2"/>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530EA2"/>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530EA2"/>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530EA2"/>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30EA2"/>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30EA2"/>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30EA2"/>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530E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1Carattere">
    <w:name w:val="Titolo 1 Carattere"/>
    <w:basedOn w:val="Carpredefinitoparagrafo"/>
    <w:link w:val="Titolo1"/>
    <w:uiPriority w:val="9"/>
    <w:rsid w:val="00530EA2"/>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530EA2"/>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530EA2"/>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530EA2"/>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530EA2"/>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530EA2"/>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30EA2"/>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30EA2"/>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30EA2"/>
    <w:rPr>
      <w:rFonts w:eastAsiaTheme="majorEastAsia" w:cstheme="majorBidi"/>
      <w:color w:val="272727" w:themeColor="text1" w:themeTint="D8"/>
    </w:rPr>
  </w:style>
  <w:style w:type="character" w:customStyle="1" w:styleId="TitoloCarattere">
    <w:name w:val="Titolo Carattere"/>
    <w:basedOn w:val="Carpredefinitoparagrafo"/>
    <w:link w:val="Titolo"/>
    <w:uiPriority w:val="10"/>
    <w:rsid w:val="00530EA2"/>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Pr>
      <w:color w:val="595959"/>
      <w:sz w:val="28"/>
      <w:szCs w:val="28"/>
    </w:rPr>
  </w:style>
  <w:style w:type="character" w:customStyle="1" w:styleId="SottotitoloCarattere">
    <w:name w:val="Sottotitolo Carattere"/>
    <w:basedOn w:val="Carpredefinitoparagrafo"/>
    <w:link w:val="Sottotitolo"/>
    <w:uiPriority w:val="11"/>
    <w:rsid w:val="00530EA2"/>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30EA2"/>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30EA2"/>
    <w:rPr>
      <w:i/>
      <w:iCs/>
      <w:color w:val="404040" w:themeColor="text1" w:themeTint="BF"/>
    </w:rPr>
  </w:style>
  <w:style w:type="paragraph" w:styleId="Paragrafoelenco">
    <w:name w:val="List Paragraph"/>
    <w:basedOn w:val="Normale"/>
    <w:uiPriority w:val="34"/>
    <w:qFormat/>
    <w:rsid w:val="00530EA2"/>
    <w:pPr>
      <w:ind w:left="720"/>
      <w:contextualSpacing/>
    </w:pPr>
  </w:style>
  <w:style w:type="character" w:styleId="Enfasiintensa">
    <w:name w:val="Intense Emphasis"/>
    <w:basedOn w:val="Carpredefinitoparagrafo"/>
    <w:uiPriority w:val="21"/>
    <w:qFormat/>
    <w:rsid w:val="00530EA2"/>
    <w:rPr>
      <w:i/>
      <w:iCs/>
      <w:color w:val="0F4761" w:themeColor="accent1" w:themeShade="BF"/>
    </w:rPr>
  </w:style>
  <w:style w:type="paragraph" w:styleId="Citazioneintensa">
    <w:name w:val="Intense Quote"/>
    <w:basedOn w:val="Normale"/>
    <w:next w:val="Normale"/>
    <w:link w:val="CitazioneintensaCarattere"/>
    <w:uiPriority w:val="30"/>
    <w:qFormat/>
    <w:rsid w:val="00530E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530EA2"/>
    <w:rPr>
      <w:i/>
      <w:iCs/>
      <w:color w:val="0F4761" w:themeColor="accent1" w:themeShade="BF"/>
    </w:rPr>
  </w:style>
  <w:style w:type="character" w:styleId="Riferimentointenso">
    <w:name w:val="Intense Reference"/>
    <w:basedOn w:val="Carpredefinitoparagrafo"/>
    <w:uiPriority w:val="32"/>
    <w:qFormat/>
    <w:rsid w:val="00530EA2"/>
    <w:rPr>
      <w:b/>
      <w:bCs/>
      <w:smallCaps/>
      <w:color w:val="0F4761" w:themeColor="accent1" w:themeShade="BF"/>
      <w:spacing w:val="5"/>
    </w:rPr>
  </w:style>
  <w:style w:type="character" w:styleId="Rimandocommento">
    <w:name w:val="annotation reference"/>
    <w:basedOn w:val="Carpredefinitoparagrafo"/>
    <w:uiPriority w:val="99"/>
    <w:semiHidden/>
    <w:unhideWhenUsed/>
    <w:rsid w:val="005F6410"/>
    <w:rPr>
      <w:sz w:val="16"/>
      <w:szCs w:val="16"/>
    </w:rPr>
  </w:style>
  <w:style w:type="paragraph" w:styleId="Testocommento">
    <w:name w:val="annotation text"/>
    <w:basedOn w:val="Normale"/>
    <w:link w:val="TestocommentoCarattere"/>
    <w:uiPriority w:val="99"/>
    <w:unhideWhenUsed/>
    <w:rsid w:val="005F6410"/>
    <w:pPr>
      <w:spacing w:line="240" w:lineRule="auto"/>
    </w:pPr>
    <w:rPr>
      <w:sz w:val="20"/>
      <w:szCs w:val="20"/>
    </w:rPr>
  </w:style>
  <w:style w:type="character" w:customStyle="1" w:styleId="TestocommentoCarattere">
    <w:name w:val="Testo commento Carattere"/>
    <w:basedOn w:val="Carpredefinitoparagrafo"/>
    <w:link w:val="Testocommento"/>
    <w:uiPriority w:val="99"/>
    <w:rsid w:val="005F6410"/>
    <w:rPr>
      <w:sz w:val="20"/>
      <w:szCs w:val="20"/>
    </w:rPr>
  </w:style>
  <w:style w:type="paragraph" w:styleId="Soggettocommento">
    <w:name w:val="annotation subject"/>
    <w:basedOn w:val="Testocommento"/>
    <w:next w:val="Testocommento"/>
    <w:link w:val="SoggettocommentoCarattere"/>
    <w:uiPriority w:val="99"/>
    <w:semiHidden/>
    <w:unhideWhenUsed/>
    <w:rsid w:val="005F6410"/>
    <w:rPr>
      <w:b/>
      <w:bCs/>
    </w:rPr>
  </w:style>
  <w:style w:type="character" w:customStyle="1" w:styleId="SoggettocommentoCarattere">
    <w:name w:val="Soggetto commento Carattere"/>
    <w:basedOn w:val="TestocommentoCarattere"/>
    <w:link w:val="Soggettocommento"/>
    <w:uiPriority w:val="99"/>
    <w:semiHidden/>
    <w:rsid w:val="005F6410"/>
    <w:rPr>
      <w:b/>
      <w:bCs/>
      <w:sz w:val="20"/>
      <w:szCs w:val="20"/>
    </w:rPr>
  </w:style>
  <w:style w:type="paragraph" w:styleId="Revisione">
    <w:name w:val="Revision"/>
    <w:hidden/>
    <w:uiPriority w:val="99"/>
    <w:semiHidden/>
    <w:rsid w:val="005F6410"/>
    <w:pPr>
      <w:spacing w:after="0" w:line="240" w:lineRule="auto"/>
    </w:pPr>
  </w:style>
  <w:style w:type="character" w:styleId="Collegamentoipertestuale">
    <w:name w:val="Hyperlink"/>
    <w:basedOn w:val="Carpredefinitoparagrafo"/>
    <w:uiPriority w:val="99"/>
    <w:unhideWhenUsed/>
    <w:rsid w:val="0034304E"/>
    <w:rPr>
      <w:color w:val="467886" w:themeColor="hyperlink"/>
      <w:u w:val="single"/>
    </w:rPr>
  </w:style>
  <w:style w:type="character" w:styleId="Menzionenonrisolta">
    <w:name w:val="Unresolved Mention"/>
    <w:basedOn w:val="Carpredefinitoparagrafo"/>
    <w:uiPriority w:val="99"/>
    <w:semiHidden/>
    <w:unhideWhenUsed/>
    <w:rsid w:val="0034304E"/>
    <w:rPr>
      <w:color w:val="605E5C"/>
      <w:shd w:val="clear" w:color="auto" w:fill="E1DFDD"/>
    </w:rPr>
  </w:style>
  <w:style w:type="character" w:styleId="Collegamentovisitato">
    <w:name w:val="FollowedHyperlink"/>
    <w:basedOn w:val="Carpredefinitoparagrafo"/>
    <w:uiPriority w:val="99"/>
    <w:semiHidden/>
    <w:unhideWhenUsed/>
    <w:rsid w:val="0034304E"/>
    <w:rPr>
      <w:color w:val="96607D" w:themeColor="followedHyperlink"/>
      <w:u w:val="single"/>
    </w:rPr>
  </w:style>
  <w:style w:type="paragraph" w:styleId="Intestazione">
    <w:name w:val="header"/>
    <w:basedOn w:val="Normale"/>
    <w:link w:val="IntestazioneCarattere"/>
    <w:uiPriority w:val="99"/>
    <w:unhideWhenUsed/>
    <w:rsid w:val="00993A5E"/>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993A5E"/>
  </w:style>
  <w:style w:type="paragraph" w:styleId="Pidipagina">
    <w:name w:val="footer"/>
    <w:basedOn w:val="Normale"/>
    <w:link w:val="PidipaginaCarattere"/>
    <w:uiPriority w:val="99"/>
    <w:unhideWhenUsed/>
    <w:rsid w:val="00993A5E"/>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993A5E"/>
  </w:style>
  <w:style w:type="character" w:styleId="Numeropagina">
    <w:name w:val="page number"/>
    <w:basedOn w:val="Carpredefinitoparagrafo"/>
    <w:uiPriority w:val="99"/>
    <w:semiHidden/>
    <w:unhideWhenUsed/>
    <w:rsid w:val="00993A5E"/>
  </w:style>
  <w:style w:type="paragraph" w:styleId="Testonotaapidipagina">
    <w:name w:val="footnote text"/>
    <w:basedOn w:val="Normale"/>
    <w:link w:val="TestonotaapidipaginaCarattere"/>
    <w:uiPriority w:val="99"/>
    <w:semiHidden/>
    <w:unhideWhenUsed/>
    <w:rsid w:val="0075720D"/>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5720D"/>
    <w:rPr>
      <w:sz w:val="20"/>
      <w:szCs w:val="20"/>
    </w:rPr>
  </w:style>
  <w:style w:type="character" w:styleId="Rimandonotaapidipagina">
    <w:name w:val="footnote reference"/>
    <w:basedOn w:val="Carpredefinitoparagrafo"/>
    <w:uiPriority w:val="99"/>
    <w:semiHidden/>
    <w:unhideWhenUsed/>
    <w:rsid w:val="0075720D"/>
    <w:rPr>
      <w:vertAlign w:val="superscript"/>
    </w:rPr>
  </w:style>
  <w:style w:type="character" w:styleId="Testosegnaposto">
    <w:name w:val="Placeholder Text"/>
    <w:basedOn w:val="Carpredefinitoparagrafo"/>
    <w:uiPriority w:val="99"/>
    <w:semiHidden/>
    <w:rsid w:val="0001311D"/>
    <w:rPr>
      <w:color w:val="666666"/>
    </w:rPr>
  </w:style>
  <w:style w:type="paragraph" w:styleId="NormaleWeb">
    <w:name w:val="Normal (Web)"/>
    <w:basedOn w:val="Normale"/>
    <w:uiPriority w:val="99"/>
    <w:unhideWhenUsed/>
    <w:rsid w:val="00E51CA3"/>
    <w:pPr>
      <w:spacing w:before="100" w:beforeAutospacing="1" w:after="100" w:afterAutospacing="1" w:line="240" w:lineRule="auto"/>
    </w:pPr>
    <w:rPr>
      <w:rFonts w:ascii="Times New Roman" w:eastAsia="Times New Roman" w:hAnsi="Times New Roman" w:cs="Times New Roman"/>
      <w:lang w:eastAsia="it-IT"/>
    </w:rPr>
  </w:style>
  <w:style w:type="paragraph" w:styleId="PreformattatoHTML">
    <w:name w:val="HTML Preformatted"/>
    <w:basedOn w:val="Normale"/>
    <w:link w:val="PreformattatoHTMLCarattere"/>
    <w:uiPriority w:val="99"/>
    <w:semiHidden/>
    <w:unhideWhenUsed/>
    <w:rsid w:val="00EC23B3"/>
    <w:pPr>
      <w:spacing w:after="0" w:line="240" w:lineRule="auto"/>
    </w:pPr>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EC23B3"/>
    <w:rPr>
      <w:rFonts w:ascii="Consolas" w:hAnsi="Consolas"/>
      <w:sz w:val="20"/>
      <w:szCs w:val="20"/>
    </w:rPr>
  </w:style>
  <w:style w:type="table" w:styleId="Grigliatabella">
    <w:name w:val="Table Grid"/>
    <w:basedOn w:val="Tabellanormale"/>
    <w:uiPriority w:val="59"/>
    <w:rsid w:val="007749DB"/>
    <w:pPr>
      <w:spacing w:after="0" w:line="240" w:lineRule="auto"/>
    </w:pPr>
    <w:rPr>
      <w:rFonts w:ascii="Calibri" w:eastAsia="Yu Mincho" w:hAnsi="Calibri" w:cs="Arial"/>
      <w:kern w:val="2"/>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grassetto">
    <w:name w:val="Strong"/>
    <w:basedOn w:val="Carpredefinitoparagrafo"/>
    <w:uiPriority w:val="22"/>
    <w:qFormat/>
    <w:rsid w:val="001547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457262">
      <w:bodyDiv w:val="1"/>
      <w:marLeft w:val="0"/>
      <w:marRight w:val="0"/>
      <w:marTop w:val="0"/>
      <w:marBottom w:val="0"/>
      <w:divBdr>
        <w:top w:val="none" w:sz="0" w:space="0" w:color="auto"/>
        <w:left w:val="none" w:sz="0" w:space="0" w:color="auto"/>
        <w:bottom w:val="none" w:sz="0" w:space="0" w:color="auto"/>
        <w:right w:val="none" w:sz="0" w:space="0" w:color="auto"/>
      </w:divBdr>
    </w:div>
    <w:div w:id="72968858">
      <w:bodyDiv w:val="1"/>
      <w:marLeft w:val="0"/>
      <w:marRight w:val="0"/>
      <w:marTop w:val="0"/>
      <w:marBottom w:val="0"/>
      <w:divBdr>
        <w:top w:val="none" w:sz="0" w:space="0" w:color="auto"/>
        <w:left w:val="none" w:sz="0" w:space="0" w:color="auto"/>
        <w:bottom w:val="none" w:sz="0" w:space="0" w:color="auto"/>
        <w:right w:val="none" w:sz="0" w:space="0" w:color="auto"/>
      </w:divBdr>
    </w:div>
    <w:div w:id="408770965">
      <w:bodyDiv w:val="1"/>
      <w:marLeft w:val="0"/>
      <w:marRight w:val="0"/>
      <w:marTop w:val="0"/>
      <w:marBottom w:val="0"/>
      <w:divBdr>
        <w:top w:val="none" w:sz="0" w:space="0" w:color="auto"/>
        <w:left w:val="none" w:sz="0" w:space="0" w:color="auto"/>
        <w:bottom w:val="none" w:sz="0" w:space="0" w:color="auto"/>
        <w:right w:val="none" w:sz="0" w:space="0" w:color="auto"/>
      </w:divBdr>
    </w:div>
    <w:div w:id="564494324">
      <w:bodyDiv w:val="1"/>
      <w:marLeft w:val="0"/>
      <w:marRight w:val="0"/>
      <w:marTop w:val="0"/>
      <w:marBottom w:val="0"/>
      <w:divBdr>
        <w:top w:val="none" w:sz="0" w:space="0" w:color="auto"/>
        <w:left w:val="none" w:sz="0" w:space="0" w:color="auto"/>
        <w:bottom w:val="none" w:sz="0" w:space="0" w:color="auto"/>
        <w:right w:val="none" w:sz="0" w:space="0" w:color="auto"/>
      </w:divBdr>
    </w:div>
    <w:div w:id="640815063">
      <w:bodyDiv w:val="1"/>
      <w:marLeft w:val="0"/>
      <w:marRight w:val="0"/>
      <w:marTop w:val="0"/>
      <w:marBottom w:val="0"/>
      <w:divBdr>
        <w:top w:val="none" w:sz="0" w:space="0" w:color="auto"/>
        <w:left w:val="none" w:sz="0" w:space="0" w:color="auto"/>
        <w:bottom w:val="none" w:sz="0" w:space="0" w:color="auto"/>
        <w:right w:val="none" w:sz="0" w:space="0" w:color="auto"/>
      </w:divBdr>
    </w:div>
    <w:div w:id="1046027151">
      <w:bodyDiv w:val="1"/>
      <w:marLeft w:val="0"/>
      <w:marRight w:val="0"/>
      <w:marTop w:val="0"/>
      <w:marBottom w:val="0"/>
      <w:divBdr>
        <w:top w:val="none" w:sz="0" w:space="0" w:color="auto"/>
        <w:left w:val="none" w:sz="0" w:space="0" w:color="auto"/>
        <w:bottom w:val="none" w:sz="0" w:space="0" w:color="auto"/>
        <w:right w:val="none" w:sz="0" w:space="0" w:color="auto"/>
      </w:divBdr>
    </w:div>
    <w:div w:id="1079598870">
      <w:bodyDiv w:val="1"/>
      <w:marLeft w:val="0"/>
      <w:marRight w:val="0"/>
      <w:marTop w:val="0"/>
      <w:marBottom w:val="0"/>
      <w:divBdr>
        <w:top w:val="none" w:sz="0" w:space="0" w:color="auto"/>
        <w:left w:val="none" w:sz="0" w:space="0" w:color="auto"/>
        <w:bottom w:val="none" w:sz="0" w:space="0" w:color="auto"/>
        <w:right w:val="none" w:sz="0" w:space="0" w:color="auto"/>
      </w:divBdr>
    </w:div>
    <w:div w:id="1198661962">
      <w:bodyDiv w:val="1"/>
      <w:marLeft w:val="0"/>
      <w:marRight w:val="0"/>
      <w:marTop w:val="0"/>
      <w:marBottom w:val="0"/>
      <w:divBdr>
        <w:top w:val="none" w:sz="0" w:space="0" w:color="auto"/>
        <w:left w:val="none" w:sz="0" w:space="0" w:color="auto"/>
        <w:bottom w:val="none" w:sz="0" w:space="0" w:color="auto"/>
        <w:right w:val="none" w:sz="0" w:space="0" w:color="auto"/>
      </w:divBdr>
    </w:div>
    <w:div w:id="1210415809">
      <w:bodyDiv w:val="1"/>
      <w:marLeft w:val="0"/>
      <w:marRight w:val="0"/>
      <w:marTop w:val="0"/>
      <w:marBottom w:val="0"/>
      <w:divBdr>
        <w:top w:val="none" w:sz="0" w:space="0" w:color="auto"/>
        <w:left w:val="none" w:sz="0" w:space="0" w:color="auto"/>
        <w:bottom w:val="none" w:sz="0" w:space="0" w:color="auto"/>
        <w:right w:val="none" w:sz="0" w:space="0" w:color="auto"/>
      </w:divBdr>
    </w:div>
    <w:div w:id="1593391628">
      <w:bodyDiv w:val="1"/>
      <w:marLeft w:val="0"/>
      <w:marRight w:val="0"/>
      <w:marTop w:val="0"/>
      <w:marBottom w:val="0"/>
      <w:divBdr>
        <w:top w:val="none" w:sz="0" w:space="0" w:color="auto"/>
        <w:left w:val="none" w:sz="0" w:space="0" w:color="auto"/>
        <w:bottom w:val="none" w:sz="0" w:space="0" w:color="auto"/>
        <w:right w:val="none" w:sz="0" w:space="0" w:color="auto"/>
      </w:divBdr>
    </w:div>
    <w:div w:id="19104621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atflow.it/" TargetMode="External"/><Relationship Id="rId18" Type="http://schemas.openxmlformats.org/officeDocument/2006/relationships/hyperlink" Target="mailto:xpeng@anicecommunication.com" TargetMode="External"/><Relationship Id="rId3" Type="http://schemas.openxmlformats.org/officeDocument/2006/relationships/customXml" Target="../customXml/item3.xml"/><Relationship Id="rId21" Type="http://schemas.openxmlformats.org/officeDocument/2006/relationships/hyperlink" Target="mailto:paola.maina@anicecommunication.com" TargetMode="External"/><Relationship Id="rId7" Type="http://schemas.openxmlformats.org/officeDocument/2006/relationships/styles" Target="styles.xml"/><Relationship Id="rId12" Type="http://schemas.openxmlformats.org/officeDocument/2006/relationships/hyperlink" Target="https://www.xpeng.com/"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mailto:roberto.beltramolli@anicecommunication.com"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www.anicecommunication.com/it/category/press_room/xpen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xpengitalia.it/"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EB675CCCA3E864181CF9BEA82AAB5BC" ma:contentTypeVersion="12" ma:contentTypeDescription="Create a new document." ma:contentTypeScope="" ma:versionID="e73bb7205cc8e184933759232c3d81d4">
  <xsd:schema xmlns:xsd="http://www.w3.org/2001/XMLSchema" xmlns:xs="http://www.w3.org/2001/XMLSchema" xmlns:p="http://schemas.microsoft.com/office/2006/metadata/properties" xmlns:ns3="8be331e7-fb7c-40bb-9caa-c8e1022a5372" targetNamespace="http://schemas.microsoft.com/office/2006/metadata/properties" ma:root="true" ma:fieldsID="a7cd9dc1868b7cc92fb99335d6d9af29" ns3:_="">
    <xsd:import namespace="8be331e7-fb7c-40bb-9caa-c8e1022a5372"/>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element ref="ns3:_activity" minOccurs="0"/>
                <xsd:element ref="ns3:MediaLengthInSeconds" minOccurs="0"/>
                <xsd:element ref="ns3:MediaServiceBillingMetadata"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e331e7-fb7c-40bb-9caa-c8e1022a5372"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activity" ma:index="16" nillable="true" ma:displayName="_activity" ma:hidden="true" ma:internalName="_activity">
      <xsd:simpleType>
        <xsd:restriction base="dms:Note"/>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btZnczS8hixhgZpOZQSr8/3whw==">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go:docsCustomData>
</go:gDocsCustomXmlDataStorage>
</file>

<file path=customXml/item5.xml><?xml version="1.0" encoding="utf-8"?>
<p:properties xmlns:p="http://schemas.microsoft.com/office/2006/metadata/properties" xmlns:xsi="http://www.w3.org/2001/XMLSchema-instance" xmlns:pc="http://schemas.microsoft.com/office/infopath/2007/PartnerControls">
  <documentManagement>
    <_activity xmlns="8be331e7-fb7c-40bb-9caa-c8e1022a5372" xsi:nil="true"/>
  </documentManagement>
</p:properties>
</file>

<file path=customXml/itemProps1.xml><?xml version="1.0" encoding="utf-8"?>
<ds:datastoreItem xmlns:ds="http://schemas.openxmlformats.org/officeDocument/2006/customXml" ds:itemID="{AE2B2DC9-0816-4E13-8EFD-1D8FCC82595E}">
  <ds:schemaRefs>
    <ds:schemaRef ds:uri="http://schemas.microsoft.com/sharepoint/v3/contenttype/forms"/>
  </ds:schemaRefs>
</ds:datastoreItem>
</file>

<file path=customXml/itemProps2.xml><?xml version="1.0" encoding="utf-8"?>
<ds:datastoreItem xmlns:ds="http://schemas.openxmlformats.org/officeDocument/2006/customXml" ds:itemID="{A6DCF05A-0E3C-4A8B-BF14-66DF392F1A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e331e7-fb7c-40bb-9caa-c8e1022a5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6799FE8-B5AF-40E8-9316-4A8216983359}">
  <ds:schemaRefs>
    <ds:schemaRef ds:uri="http://schemas.openxmlformats.org/officeDocument/2006/bibliography"/>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4AB30EED-3859-4B12-A31C-148554E587F6}">
  <ds:schemaRefs>
    <ds:schemaRef ds:uri="http://schemas.microsoft.com/office/2006/metadata/properties"/>
    <ds:schemaRef ds:uri="http://schemas.microsoft.com/office/infopath/2007/PartnerControls"/>
    <ds:schemaRef ds:uri="8be331e7-fb7c-40bb-9caa-c8e1022a5372"/>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4</Pages>
  <Words>1518</Words>
  <Characters>8654</Characters>
  <Application>Microsoft Office Word</Application>
  <DocSecurity>0</DocSecurity>
  <Lines>72</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Beltramolli - Anice PR Agency</dc:creator>
  <cp:lastModifiedBy>Francesco D'Elia</cp:lastModifiedBy>
  <cp:revision>16</cp:revision>
  <cp:lastPrinted>2025-04-08T16:55:00Z</cp:lastPrinted>
  <dcterms:created xsi:type="dcterms:W3CDTF">2026-05-04T14:13:00Z</dcterms:created>
  <dcterms:modified xsi:type="dcterms:W3CDTF">2026-06-02T18:39:00Z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0x0101002EB675CCCA3E864181CF9BEA82AAB5BC</vt:lpwstr>
  </property>
</Properties>
</file>